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5850" w14:textId="6E0F92E4" w:rsidR="005B0F75" w:rsidRPr="000844FE" w:rsidRDefault="005B0F75" w:rsidP="000844FE">
      <w:pPr>
        <w:rPr>
          <w:rFonts w:cs="Arial"/>
          <w:b/>
          <w:szCs w:val="24"/>
        </w:rPr>
      </w:pPr>
      <w:r w:rsidRPr="000844FE">
        <w:rPr>
          <w:rFonts w:cs="Arial"/>
          <w:b/>
          <w:szCs w:val="24"/>
        </w:rPr>
        <w:t>ANED 2018-</w:t>
      </w:r>
      <w:r w:rsidR="00744850" w:rsidRPr="000844FE">
        <w:rPr>
          <w:rFonts w:cs="Arial"/>
          <w:b/>
          <w:szCs w:val="24"/>
        </w:rPr>
        <w:t>1</w:t>
      </w:r>
      <w:r w:rsidRPr="000844FE">
        <w:rPr>
          <w:rFonts w:cs="Arial"/>
          <w:b/>
          <w:szCs w:val="24"/>
        </w:rPr>
        <w:t>9</w:t>
      </w:r>
      <w:r w:rsidRPr="000844FE">
        <w:rPr>
          <w:rFonts w:cs="Arial"/>
          <w:b/>
          <w:szCs w:val="24"/>
        </w:rPr>
        <w:tab/>
      </w:r>
      <w:r w:rsidRPr="000844FE">
        <w:rPr>
          <w:rFonts w:cs="Arial"/>
          <w:b/>
          <w:szCs w:val="24"/>
        </w:rPr>
        <w:tab/>
      </w:r>
      <w:r w:rsidRPr="000844FE">
        <w:rPr>
          <w:rFonts w:cs="Arial"/>
          <w:b/>
          <w:szCs w:val="24"/>
        </w:rPr>
        <w:tab/>
      </w:r>
      <w:r w:rsidRPr="000844FE">
        <w:rPr>
          <w:rFonts w:cs="Arial"/>
          <w:b/>
          <w:szCs w:val="24"/>
        </w:rPr>
        <w:tab/>
        <w:t>Task 1.2</w:t>
      </w:r>
    </w:p>
    <w:p w14:paraId="6E78B8B8" w14:textId="3350DAFD" w:rsidR="005B0F75" w:rsidRPr="000844FE" w:rsidRDefault="005B0F75" w:rsidP="000844FE">
      <w:pPr>
        <w:rPr>
          <w:rFonts w:cs="Arial"/>
          <w:b/>
          <w:szCs w:val="24"/>
          <w:lang w:bidi="en-US"/>
        </w:rPr>
      </w:pPr>
    </w:p>
    <w:p w14:paraId="3FEDDFB8" w14:textId="23AC7E72" w:rsidR="00A75929" w:rsidRPr="000844FE" w:rsidRDefault="00A75929" w:rsidP="000844FE">
      <w:pPr>
        <w:rPr>
          <w:rFonts w:cs="Arial"/>
          <w:b/>
          <w:szCs w:val="24"/>
          <w:lang w:bidi="en-US"/>
        </w:rPr>
      </w:pPr>
    </w:p>
    <w:p w14:paraId="2B7BA4C5" w14:textId="416CECBD" w:rsidR="00A75929" w:rsidRPr="000844FE" w:rsidRDefault="00A75929" w:rsidP="000844FE">
      <w:pPr>
        <w:rPr>
          <w:rFonts w:cs="Arial"/>
          <w:b/>
          <w:szCs w:val="24"/>
          <w:lang w:bidi="en-US"/>
        </w:rPr>
      </w:pPr>
    </w:p>
    <w:p w14:paraId="1F1F497C" w14:textId="1F4B2E20" w:rsidR="00A75929" w:rsidRPr="000844FE" w:rsidRDefault="00C15268" w:rsidP="000844FE">
      <w:pPr>
        <w:rPr>
          <w:rFonts w:cs="Arial"/>
          <w:b/>
          <w:szCs w:val="24"/>
        </w:rPr>
      </w:pPr>
      <w:r w:rsidRPr="000844FE">
        <w:rPr>
          <w:rFonts w:cs="Arial"/>
          <w:b/>
          <w:szCs w:val="24"/>
        </w:rPr>
        <w:t>Living</w:t>
      </w:r>
      <w:r w:rsidR="009B0AEB" w:rsidRPr="000844FE">
        <w:rPr>
          <w:rFonts w:cs="Arial"/>
          <w:b/>
          <w:szCs w:val="24"/>
        </w:rPr>
        <w:t xml:space="preserve"> independently and being included in the community</w:t>
      </w:r>
    </w:p>
    <w:p w14:paraId="0AC2D9F7" w14:textId="0E52E9B3" w:rsidR="00A75929" w:rsidRPr="000844FE" w:rsidRDefault="00A75929" w:rsidP="000844FE">
      <w:pPr>
        <w:rPr>
          <w:rFonts w:cs="Arial"/>
          <w:szCs w:val="24"/>
          <w:lang w:bidi="en-US"/>
        </w:rPr>
      </w:pPr>
    </w:p>
    <w:p w14:paraId="1DDC2EBA" w14:textId="78B1B9F7" w:rsidR="00A75929" w:rsidRPr="000844FE" w:rsidRDefault="00A75929" w:rsidP="000844FE">
      <w:pPr>
        <w:rPr>
          <w:rFonts w:cs="Arial"/>
          <w:szCs w:val="24"/>
          <w:lang w:bidi="en-US"/>
        </w:rPr>
      </w:pPr>
    </w:p>
    <w:p w14:paraId="55381F4E" w14:textId="141154D1" w:rsidR="00707FF0" w:rsidRPr="000844FE" w:rsidRDefault="00707FF0" w:rsidP="000844FE">
      <w:pPr>
        <w:rPr>
          <w:rFonts w:cs="Arial"/>
          <w:szCs w:val="24"/>
          <w:lang w:bidi="en-US"/>
        </w:rPr>
      </w:pPr>
    </w:p>
    <w:p w14:paraId="77EF8AD2" w14:textId="3BADA3A2" w:rsidR="00707FF0" w:rsidRPr="000844FE" w:rsidRDefault="00707FF0" w:rsidP="000844FE">
      <w:pPr>
        <w:rPr>
          <w:rFonts w:cs="Arial"/>
          <w:szCs w:val="24"/>
          <w:lang w:bidi="en-US"/>
        </w:rPr>
      </w:pPr>
    </w:p>
    <w:p w14:paraId="0F6B55BF" w14:textId="23C53656" w:rsidR="00707FF0" w:rsidRPr="000844FE" w:rsidRDefault="00707FF0" w:rsidP="000844FE">
      <w:pPr>
        <w:rPr>
          <w:rFonts w:cs="Arial"/>
          <w:szCs w:val="24"/>
          <w:lang w:bidi="en-US"/>
        </w:rPr>
      </w:pPr>
    </w:p>
    <w:p w14:paraId="5FC252B0" w14:textId="3CEB14C9" w:rsidR="00707FF0" w:rsidRPr="000844FE" w:rsidRDefault="00707FF0" w:rsidP="000844FE">
      <w:pPr>
        <w:rPr>
          <w:rFonts w:cs="Arial"/>
          <w:szCs w:val="24"/>
          <w:lang w:bidi="en-US"/>
        </w:rPr>
      </w:pPr>
    </w:p>
    <w:p w14:paraId="21893D9C" w14:textId="77777777" w:rsidR="00707FF0" w:rsidRPr="000844FE" w:rsidRDefault="00707FF0" w:rsidP="000844FE">
      <w:pPr>
        <w:rPr>
          <w:rFonts w:cs="Arial"/>
          <w:szCs w:val="24"/>
          <w:lang w:bidi="en-US"/>
        </w:rPr>
      </w:pPr>
    </w:p>
    <w:p w14:paraId="53E3BB75" w14:textId="195C5715" w:rsidR="00A75929" w:rsidRPr="000844FE" w:rsidRDefault="00A75929" w:rsidP="000844FE">
      <w:pPr>
        <w:rPr>
          <w:rFonts w:cs="Arial"/>
          <w:szCs w:val="24"/>
          <w:lang w:bidi="en-US"/>
        </w:rPr>
      </w:pPr>
      <w:r w:rsidRPr="000844FE">
        <w:rPr>
          <w:rFonts w:cs="Arial"/>
          <w:szCs w:val="24"/>
          <w:lang w:bidi="en-US"/>
        </w:rPr>
        <w:t xml:space="preserve">Country: </w:t>
      </w:r>
      <w:r w:rsidR="00AE486E" w:rsidRPr="000844FE">
        <w:rPr>
          <w:rFonts w:cs="Arial"/>
          <w:szCs w:val="24"/>
          <w:lang w:bidi="en-US"/>
        </w:rPr>
        <w:t>Greece</w:t>
      </w:r>
    </w:p>
    <w:p w14:paraId="6BE6B94B" w14:textId="0D5F71C7" w:rsidR="00A75929" w:rsidRPr="000844FE" w:rsidRDefault="00A75929" w:rsidP="000844FE">
      <w:pPr>
        <w:rPr>
          <w:rFonts w:cs="Arial"/>
          <w:szCs w:val="24"/>
          <w:lang w:bidi="en-US"/>
        </w:rPr>
      </w:pPr>
    </w:p>
    <w:p w14:paraId="219C98C4" w14:textId="552DD099" w:rsidR="00A75929" w:rsidRPr="000844FE" w:rsidRDefault="00A75929" w:rsidP="000844FE">
      <w:pPr>
        <w:rPr>
          <w:rFonts w:cs="Arial"/>
          <w:szCs w:val="24"/>
          <w:lang w:bidi="en-US"/>
        </w:rPr>
      </w:pPr>
      <w:r w:rsidRPr="000844FE">
        <w:rPr>
          <w:rFonts w:cs="Arial"/>
          <w:szCs w:val="24"/>
          <w:lang w:bidi="en-US"/>
        </w:rPr>
        <w:t xml:space="preserve">Expert(s): </w:t>
      </w:r>
      <w:r w:rsidR="00AE486E" w:rsidRPr="000844FE">
        <w:rPr>
          <w:rFonts w:cs="Arial"/>
          <w:szCs w:val="24"/>
          <w:lang w:bidi="en-US"/>
        </w:rPr>
        <w:t>Eleni Strati</w:t>
      </w:r>
    </w:p>
    <w:p w14:paraId="071D2814" w14:textId="5A03DBE0" w:rsidR="008E4ACD" w:rsidRPr="000844FE" w:rsidRDefault="00D9246D" w:rsidP="000844FE">
      <w:pPr>
        <w:rPr>
          <w:rFonts w:eastAsiaTheme="majorEastAsia" w:cs="Arial"/>
          <w:b/>
          <w:bCs/>
          <w:szCs w:val="24"/>
          <w:lang w:bidi="en-US"/>
        </w:rPr>
      </w:pPr>
      <w:r w:rsidRPr="000844FE">
        <w:rPr>
          <w:rFonts w:cs="Arial"/>
          <w:szCs w:val="24"/>
        </w:rPr>
        <w:br w:type="page"/>
      </w:r>
      <w:bookmarkStart w:id="0" w:name="_Toc440626664"/>
    </w:p>
    <w:p w14:paraId="3AE39F88" w14:textId="77777777" w:rsidR="00A75929" w:rsidRPr="000844FE" w:rsidRDefault="00A75929" w:rsidP="000844FE">
      <w:pPr>
        <w:rPr>
          <w:rFonts w:cs="Arial"/>
          <w:b/>
          <w:szCs w:val="24"/>
        </w:rPr>
      </w:pPr>
      <w:bookmarkStart w:id="1" w:name="OLE_LINK3"/>
      <w:bookmarkStart w:id="2" w:name="OLE_LINK4"/>
      <w:r w:rsidRPr="000844FE">
        <w:rPr>
          <w:rFonts w:cs="Arial"/>
          <w:b/>
          <w:szCs w:val="24"/>
        </w:rPr>
        <w:lastRenderedPageBreak/>
        <w:t>Contents</w:t>
      </w:r>
    </w:p>
    <w:p w14:paraId="4FD75F1E" w14:textId="77777777" w:rsidR="00A75929" w:rsidRPr="000844FE" w:rsidRDefault="00A75929" w:rsidP="000844FE">
      <w:pPr>
        <w:rPr>
          <w:rFonts w:cs="Arial"/>
          <w:szCs w:val="24"/>
        </w:rPr>
      </w:pPr>
    </w:p>
    <w:p w14:paraId="689275D0" w14:textId="2200B005" w:rsidR="00C105A4" w:rsidRDefault="00A75929">
      <w:pPr>
        <w:pStyle w:val="TOC1"/>
        <w:rPr>
          <w:rFonts w:asciiTheme="minorHAnsi" w:eastAsiaTheme="minorEastAsia" w:hAnsiTheme="minorHAnsi"/>
          <w:noProof/>
          <w:sz w:val="22"/>
          <w:szCs w:val="22"/>
          <w:lang w:val="nl-NL" w:eastAsia="nl-NL"/>
        </w:rPr>
      </w:pPr>
      <w:r w:rsidRPr="000844FE">
        <w:rPr>
          <w:rFonts w:cs="Arial"/>
          <w:szCs w:val="24"/>
        </w:rPr>
        <w:fldChar w:fldCharType="begin"/>
      </w:r>
      <w:r w:rsidRPr="000844FE">
        <w:rPr>
          <w:rFonts w:cs="Arial"/>
          <w:szCs w:val="24"/>
        </w:rPr>
        <w:instrText xml:space="preserve"> TOC \o "1-2" \h \z \u </w:instrText>
      </w:r>
      <w:r w:rsidRPr="000844FE">
        <w:rPr>
          <w:rFonts w:cs="Arial"/>
          <w:szCs w:val="24"/>
        </w:rPr>
        <w:fldChar w:fldCharType="separate"/>
      </w:r>
      <w:hyperlink w:anchor="_Toc7608749" w:history="1">
        <w:r w:rsidR="00C105A4" w:rsidRPr="006B73F0">
          <w:rPr>
            <w:rStyle w:val="Hyperlink"/>
            <w:rFonts w:cs="Arial"/>
            <w:noProof/>
            <w:lang w:bidi="en-US"/>
          </w:rPr>
          <w:t>PART A – Factual information and statistical data</w:t>
        </w:r>
        <w:r w:rsidR="00C105A4">
          <w:rPr>
            <w:noProof/>
            <w:webHidden/>
          </w:rPr>
          <w:tab/>
        </w:r>
        <w:r w:rsidR="00C105A4">
          <w:rPr>
            <w:noProof/>
            <w:webHidden/>
          </w:rPr>
          <w:fldChar w:fldCharType="begin"/>
        </w:r>
        <w:r w:rsidR="00C105A4">
          <w:rPr>
            <w:noProof/>
            <w:webHidden/>
          </w:rPr>
          <w:instrText xml:space="preserve"> PAGEREF _Toc7608749 \h </w:instrText>
        </w:r>
        <w:r w:rsidR="00C105A4">
          <w:rPr>
            <w:noProof/>
            <w:webHidden/>
          </w:rPr>
        </w:r>
        <w:r w:rsidR="00C105A4">
          <w:rPr>
            <w:noProof/>
            <w:webHidden/>
          </w:rPr>
          <w:fldChar w:fldCharType="separate"/>
        </w:r>
        <w:r w:rsidR="00C105A4">
          <w:rPr>
            <w:noProof/>
            <w:webHidden/>
          </w:rPr>
          <w:t>2</w:t>
        </w:r>
        <w:r w:rsidR="00C105A4">
          <w:rPr>
            <w:noProof/>
            <w:webHidden/>
          </w:rPr>
          <w:fldChar w:fldCharType="end"/>
        </w:r>
      </w:hyperlink>
    </w:p>
    <w:p w14:paraId="55BE9ED4" w14:textId="654D99DE" w:rsidR="00C105A4" w:rsidRDefault="00C105A4">
      <w:pPr>
        <w:pStyle w:val="TOC1"/>
        <w:rPr>
          <w:rFonts w:asciiTheme="minorHAnsi" w:eastAsiaTheme="minorEastAsia" w:hAnsiTheme="minorHAnsi"/>
          <w:noProof/>
          <w:sz w:val="22"/>
          <w:szCs w:val="22"/>
          <w:lang w:val="nl-NL" w:eastAsia="nl-NL"/>
        </w:rPr>
      </w:pPr>
      <w:hyperlink w:anchor="_Toc7608750" w:history="1">
        <w:r w:rsidRPr="006B73F0">
          <w:rPr>
            <w:rStyle w:val="Hyperlink"/>
            <w:rFonts w:cs="Arial"/>
            <w:noProof/>
            <w:lang w:bidi="en-US"/>
          </w:rPr>
          <w:t>1</w:t>
        </w:r>
        <w:r>
          <w:rPr>
            <w:rFonts w:asciiTheme="minorHAnsi" w:eastAsiaTheme="minorEastAsia" w:hAnsiTheme="minorHAnsi"/>
            <w:noProof/>
            <w:sz w:val="22"/>
            <w:szCs w:val="22"/>
            <w:lang w:val="nl-NL" w:eastAsia="nl-NL"/>
          </w:rPr>
          <w:tab/>
        </w:r>
        <w:r w:rsidRPr="006B73F0">
          <w:rPr>
            <w:rStyle w:val="Hyperlink"/>
            <w:rFonts w:cs="Arial"/>
            <w:noProof/>
            <w:lang w:bidi="en-US"/>
          </w:rPr>
          <w:t>Current situation and direction of travel</w:t>
        </w:r>
        <w:r>
          <w:rPr>
            <w:noProof/>
            <w:webHidden/>
          </w:rPr>
          <w:tab/>
        </w:r>
        <w:r>
          <w:rPr>
            <w:noProof/>
            <w:webHidden/>
          </w:rPr>
          <w:fldChar w:fldCharType="begin"/>
        </w:r>
        <w:r>
          <w:rPr>
            <w:noProof/>
            <w:webHidden/>
          </w:rPr>
          <w:instrText xml:space="preserve"> PAGEREF _Toc7608750 \h </w:instrText>
        </w:r>
        <w:r>
          <w:rPr>
            <w:noProof/>
            <w:webHidden/>
          </w:rPr>
        </w:r>
        <w:r>
          <w:rPr>
            <w:noProof/>
            <w:webHidden/>
          </w:rPr>
          <w:fldChar w:fldCharType="separate"/>
        </w:r>
        <w:r>
          <w:rPr>
            <w:noProof/>
            <w:webHidden/>
          </w:rPr>
          <w:t>2</w:t>
        </w:r>
        <w:r>
          <w:rPr>
            <w:noProof/>
            <w:webHidden/>
          </w:rPr>
          <w:fldChar w:fldCharType="end"/>
        </w:r>
      </w:hyperlink>
    </w:p>
    <w:p w14:paraId="0CE004EF" w14:textId="35BF60CE"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1" w:history="1">
        <w:r w:rsidRPr="006B73F0">
          <w:rPr>
            <w:rStyle w:val="Hyperlink"/>
            <w:rFonts w:cs="Arial"/>
            <w:noProof/>
            <w:lang w:bidi="en-US"/>
          </w:rPr>
          <w:t>1.1</w:t>
        </w:r>
        <w:r>
          <w:rPr>
            <w:rFonts w:asciiTheme="minorHAnsi" w:eastAsiaTheme="minorEastAsia" w:hAnsiTheme="minorHAnsi"/>
            <w:noProof/>
            <w:sz w:val="22"/>
            <w:szCs w:val="22"/>
            <w:lang w:val="nl-NL" w:eastAsia="nl-NL"/>
          </w:rPr>
          <w:tab/>
        </w:r>
        <w:r w:rsidRPr="006B73F0">
          <w:rPr>
            <w:rStyle w:val="Hyperlink"/>
            <w:rFonts w:cs="Arial"/>
            <w:noProof/>
            <w:lang w:bidi="en-US"/>
          </w:rPr>
          <w:t>Numbers and proportions of disabled children and adults residing in institutional care or community-based settings</w:t>
        </w:r>
        <w:r>
          <w:rPr>
            <w:noProof/>
            <w:webHidden/>
          </w:rPr>
          <w:tab/>
        </w:r>
        <w:r>
          <w:rPr>
            <w:noProof/>
            <w:webHidden/>
          </w:rPr>
          <w:fldChar w:fldCharType="begin"/>
        </w:r>
        <w:r>
          <w:rPr>
            <w:noProof/>
            <w:webHidden/>
          </w:rPr>
          <w:instrText xml:space="preserve"> PAGEREF _Toc7608751 \h </w:instrText>
        </w:r>
        <w:r>
          <w:rPr>
            <w:noProof/>
            <w:webHidden/>
          </w:rPr>
        </w:r>
        <w:r>
          <w:rPr>
            <w:noProof/>
            <w:webHidden/>
          </w:rPr>
          <w:fldChar w:fldCharType="separate"/>
        </w:r>
        <w:r>
          <w:rPr>
            <w:noProof/>
            <w:webHidden/>
          </w:rPr>
          <w:t>2</w:t>
        </w:r>
        <w:r>
          <w:rPr>
            <w:noProof/>
            <w:webHidden/>
          </w:rPr>
          <w:fldChar w:fldCharType="end"/>
        </w:r>
      </w:hyperlink>
    </w:p>
    <w:p w14:paraId="0929F71B" w14:textId="650A6EC6"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2" w:history="1">
        <w:r w:rsidRPr="006B73F0">
          <w:rPr>
            <w:rStyle w:val="Hyperlink"/>
            <w:noProof/>
            <w:lang w:bidi="en-US"/>
          </w:rPr>
          <w:t>1.2</w:t>
        </w:r>
        <w:r>
          <w:rPr>
            <w:rFonts w:asciiTheme="minorHAnsi" w:eastAsiaTheme="minorEastAsia" w:hAnsiTheme="minorHAnsi"/>
            <w:noProof/>
            <w:sz w:val="22"/>
            <w:szCs w:val="22"/>
            <w:lang w:val="nl-NL" w:eastAsia="nl-NL"/>
          </w:rPr>
          <w:tab/>
        </w:r>
        <w:r w:rsidRPr="006B73F0">
          <w:rPr>
            <w:rStyle w:val="Hyperlink"/>
            <w:noProof/>
            <w:lang w:bidi="en-US"/>
          </w:rPr>
          <w:t>Overall spending on institutional care versus services for support for living independently and being included in the community, including information about proportion/amount of funding provided from EU funds</w:t>
        </w:r>
        <w:r>
          <w:rPr>
            <w:noProof/>
            <w:webHidden/>
          </w:rPr>
          <w:tab/>
        </w:r>
        <w:r>
          <w:rPr>
            <w:noProof/>
            <w:webHidden/>
          </w:rPr>
          <w:fldChar w:fldCharType="begin"/>
        </w:r>
        <w:r>
          <w:rPr>
            <w:noProof/>
            <w:webHidden/>
          </w:rPr>
          <w:instrText xml:space="preserve"> PAGEREF _Toc7608752 \h </w:instrText>
        </w:r>
        <w:r>
          <w:rPr>
            <w:noProof/>
            <w:webHidden/>
          </w:rPr>
        </w:r>
        <w:r>
          <w:rPr>
            <w:noProof/>
            <w:webHidden/>
          </w:rPr>
          <w:fldChar w:fldCharType="separate"/>
        </w:r>
        <w:r>
          <w:rPr>
            <w:noProof/>
            <w:webHidden/>
          </w:rPr>
          <w:t>3</w:t>
        </w:r>
        <w:r>
          <w:rPr>
            <w:noProof/>
            <w:webHidden/>
          </w:rPr>
          <w:fldChar w:fldCharType="end"/>
        </w:r>
      </w:hyperlink>
    </w:p>
    <w:p w14:paraId="29F975B7" w14:textId="0955AF77" w:rsidR="00C105A4" w:rsidRDefault="00C105A4">
      <w:pPr>
        <w:pStyle w:val="TOC1"/>
        <w:rPr>
          <w:rFonts w:asciiTheme="minorHAnsi" w:eastAsiaTheme="minorEastAsia" w:hAnsiTheme="minorHAnsi"/>
          <w:noProof/>
          <w:sz w:val="22"/>
          <w:szCs w:val="22"/>
          <w:lang w:val="nl-NL" w:eastAsia="nl-NL"/>
        </w:rPr>
      </w:pPr>
      <w:hyperlink w:anchor="_Toc7608753" w:history="1">
        <w:r w:rsidRPr="006B73F0">
          <w:rPr>
            <w:rStyle w:val="Hyperlink"/>
            <w:noProof/>
            <w:lang w:bidi="en-US"/>
          </w:rPr>
          <w:t>2</w:t>
        </w:r>
        <w:r>
          <w:rPr>
            <w:rFonts w:asciiTheme="minorHAnsi" w:eastAsiaTheme="minorEastAsia" w:hAnsiTheme="minorHAnsi"/>
            <w:noProof/>
            <w:sz w:val="22"/>
            <w:szCs w:val="22"/>
            <w:lang w:val="nl-NL" w:eastAsia="nl-NL"/>
          </w:rPr>
          <w:tab/>
        </w:r>
        <w:r w:rsidRPr="006B73F0">
          <w:rPr>
            <w:rStyle w:val="Hyperlink"/>
            <w:noProof/>
            <w:lang w:bidi="en-US"/>
          </w:rPr>
          <w:t>Government commitments on living independently and being included in the community including the transition from institutional care to community-based living</w:t>
        </w:r>
        <w:r>
          <w:rPr>
            <w:noProof/>
            <w:webHidden/>
          </w:rPr>
          <w:tab/>
        </w:r>
        <w:r>
          <w:rPr>
            <w:noProof/>
            <w:webHidden/>
          </w:rPr>
          <w:fldChar w:fldCharType="begin"/>
        </w:r>
        <w:r>
          <w:rPr>
            <w:noProof/>
            <w:webHidden/>
          </w:rPr>
          <w:instrText xml:space="preserve"> PAGEREF _Toc7608753 \h </w:instrText>
        </w:r>
        <w:r>
          <w:rPr>
            <w:noProof/>
            <w:webHidden/>
          </w:rPr>
        </w:r>
        <w:r>
          <w:rPr>
            <w:noProof/>
            <w:webHidden/>
          </w:rPr>
          <w:fldChar w:fldCharType="separate"/>
        </w:r>
        <w:r>
          <w:rPr>
            <w:noProof/>
            <w:webHidden/>
          </w:rPr>
          <w:t>5</w:t>
        </w:r>
        <w:r>
          <w:rPr>
            <w:noProof/>
            <w:webHidden/>
          </w:rPr>
          <w:fldChar w:fldCharType="end"/>
        </w:r>
      </w:hyperlink>
    </w:p>
    <w:p w14:paraId="6225BC14" w14:textId="3CB09758"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4" w:history="1">
        <w:r w:rsidRPr="006B73F0">
          <w:rPr>
            <w:rStyle w:val="Hyperlink"/>
            <w:noProof/>
            <w:lang w:bidi="en-US"/>
          </w:rPr>
          <w:t>2.1</w:t>
        </w:r>
        <w:r>
          <w:rPr>
            <w:rFonts w:asciiTheme="minorHAnsi" w:eastAsiaTheme="minorEastAsia" w:hAnsiTheme="minorHAnsi"/>
            <w:noProof/>
            <w:sz w:val="22"/>
            <w:szCs w:val="22"/>
            <w:lang w:val="nl-NL" w:eastAsia="nl-NL"/>
          </w:rPr>
          <w:tab/>
        </w:r>
        <w:r w:rsidRPr="006B73F0">
          <w:rPr>
            <w:rStyle w:val="Hyperlink"/>
            <w:noProof/>
            <w:lang w:bidi="en-US"/>
          </w:rPr>
          <w:t>In which document(s) are government commitments and plans concerning support for independent living in the community set out?</w:t>
        </w:r>
        <w:r>
          <w:rPr>
            <w:noProof/>
            <w:webHidden/>
          </w:rPr>
          <w:tab/>
        </w:r>
        <w:r>
          <w:rPr>
            <w:noProof/>
            <w:webHidden/>
          </w:rPr>
          <w:fldChar w:fldCharType="begin"/>
        </w:r>
        <w:r>
          <w:rPr>
            <w:noProof/>
            <w:webHidden/>
          </w:rPr>
          <w:instrText xml:space="preserve"> PAGEREF _Toc7608754 \h </w:instrText>
        </w:r>
        <w:r>
          <w:rPr>
            <w:noProof/>
            <w:webHidden/>
          </w:rPr>
        </w:r>
        <w:r>
          <w:rPr>
            <w:noProof/>
            <w:webHidden/>
          </w:rPr>
          <w:fldChar w:fldCharType="separate"/>
        </w:r>
        <w:r>
          <w:rPr>
            <w:noProof/>
            <w:webHidden/>
          </w:rPr>
          <w:t>5</w:t>
        </w:r>
        <w:r>
          <w:rPr>
            <w:noProof/>
            <w:webHidden/>
          </w:rPr>
          <w:fldChar w:fldCharType="end"/>
        </w:r>
      </w:hyperlink>
    </w:p>
    <w:p w14:paraId="5CAD39DC" w14:textId="50AB5C80"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5" w:history="1">
        <w:r w:rsidRPr="006B73F0">
          <w:rPr>
            <w:rStyle w:val="Hyperlink"/>
            <w:noProof/>
            <w:lang w:bidi="en-US"/>
          </w:rPr>
          <w:t>2.2</w:t>
        </w:r>
        <w:r>
          <w:rPr>
            <w:rFonts w:asciiTheme="minorHAnsi" w:eastAsiaTheme="minorEastAsia" w:hAnsiTheme="minorHAnsi"/>
            <w:noProof/>
            <w:sz w:val="22"/>
            <w:szCs w:val="22"/>
            <w:lang w:val="nl-NL" w:eastAsia="nl-NL"/>
          </w:rPr>
          <w:tab/>
        </w:r>
        <w:r w:rsidRPr="006B73F0">
          <w:rPr>
            <w:rStyle w:val="Hyperlink"/>
            <w:noProof/>
            <w:lang w:bidi="en-US"/>
          </w:rPr>
          <w:t>What are the aims and objectives of relevant strategies, including relevant targets and milestones? Are they linked to ESIF?</w:t>
        </w:r>
        <w:r>
          <w:rPr>
            <w:noProof/>
            <w:webHidden/>
          </w:rPr>
          <w:tab/>
        </w:r>
        <w:r>
          <w:rPr>
            <w:noProof/>
            <w:webHidden/>
          </w:rPr>
          <w:fldChar w:fldCharType="begin"/>
        </w:r>
        <w:r>
          <w:rPr>
            <w:noProof/>
            <w:webHidden/>
          </w:rPr>
          <w:instrText xml:space="preserve"> PAGEREF _Toc7608755 \h </w:instrText>
        </w:r>
        <w:r>
          <w:rPr>
            <w:noProof/>
            <w:webHidden/>
          </w:rPr>
        </w:r>
        <w:r>
          <w:rPr>
            <w:noProof/>
            <w:webHidden/>
          </w:rPr>
          <w:fldChar w:fldCharType="separate"/>
        </w:r>
        <w:r>
          <w:rPr>
            <w:noProof/>
            <w:webHidden/>
          </w:rPr>
          <w:t>7</w:t>
        </w:r>
        <w:r>
          <w:rPr>
            <w:noProof/>
            <w:webHidden/>
          </w:rPr>
          <w:fldChar w:fldCharType="end"/>
        </w:r>
      </w:hyperlink>
    </w:p>
    <w:p w14:paraId="7C918AA7" w14:textId="7A055671"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6" w:history="1">
        <w:r w:rsidRPr="006B73F0">
          <w:rPr>
            <w:rStyle w:val="Hyperlink"/>
            <w:noProof/>
            <w:lang w:bidi="en-US"/>
          </w:rPr>
          <w:t>2.3</w:t>
        </w:r>
        <w:r>
          <w:rPr>
            <w:rFonts w:asciiTheme="minorHAnsi" w:eastAsiaTheme="minorEastAsia" w:hAnsiTheme="minorHAnsi"/>
            <w:noProof/>
            <w:sz w:val="22"/>
            <w:szCs w:val="22"/>
            <w:lang w:val="nl-NL" w:eastAsia="nl-NL"/>
          </w:rPr>
          <w:tab/>
        </w:r>
        <w:r w:rsidRPr="006B73F0">
          <w:rPr>
            <w:rStyle w:val="Hyperlink"/>
            <w:noProof/>
            <w:lang w:bidi="en-US"/>
          </w:rPr>
          <w:t>Please summarise the planned approach and the actions to be taken in relevant strategies</w:t>
        </w:r>
        <w:r>
          <w:rPr>
            <w:noProof/>
            <w:webHidden/>
          </w:rPr>
          <w:tab/>
        </w:r>
        <w:r>
          <w:rPr>
            <w:noProof/>
            <w:webHidden/>
          </w:rPr>
          <w:fldChar w:fldCharType="begin"/>
        </w:r>
        <w:r>
          <w:rPr>
            <w:noProof/>
            <w:webHidden/>
          </w:rPr>
          <w:instrText xml:space="preserve"> PAGEREF _Toc7608756 \h </w:instrText>
        </w:r>
        <w:r>
          <w:rPr>
            <w:noProof/>
            <w:webHidden/>
          </w:rPr>
        </w:r>
        <w:r>
          <w:rPr>
            <w:noProof/>
            <w:webHidden/>
          </w:rPr>
          <w:fldChar w:fldCharType="separate"/>
        </w:r>
        <w:r>
          <w:rPr>
            <w:noProof/>
            <w:webHidden/>
          </w:rPr>
          <w:t>7</w:t>
        </w:r>
        <w:r>
          <w:rPr>
            <w:noProof/>
            <w:webHidden/>
          </w:rPr>
          <w:fldChar w:fldCharType="end"/>
        </w:r>
      </w:hyperlink>
    </w:p>
    <w:p w14:paraId="768131C9" w14:textId="03E09284"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7" w:history="1">
        <w:r w:rsidRPr="006B73F0">
          <w:rPr>
            <w:rStyle w:val="Hyperlink"/>
            <w:noProof/>
            <w:lang w:bidi="en-US"/>
          </w:rPr>
          <w:t>2.4</w:t>
        </w:r>
        <w:r>
          <w:rPr>
            <w:rFonts w:asciiTheme="minorHAnsi" w:eastAsiaTheme="minorEastAsia" w:hAnsiTheme="minorHAnsi"/>
            <w:noProof/>
            <w:sz w:val="22"/>
            <w:szCs w:val="22"/>
            <w:lang w:val="nl-NL" w:eastAsia="nl-NL"/>
          </w:rPr>
          <w:tab/>
        </w:r>
        <w:r w:rsidRPr="006B73F0">
          <w:rPr>
            <w:rStyle w:val="Hyperlink"/>
            <w:noProof/>
            <w:lang w:bidi="en-US"/>
          </w:rPr>
          <w:t>What budgetary commitments are made to support these strategies, both for domestic and EU funds?</w:t>
        </w:r>
        <w:r>
          <w:rPr>
            <w:noProof/>
            <w:webHidden/>
          </w:rPr>
          <w:tab/>
        </w:r>
        <w:r>
          <w:rPr>
            <w:noProof/>
            <w:webHidden/>
          </w:rPr>
          <w:fldChar w:fldCharType="begin"/>
        </w:r>
        <w:r>
          <w:rPr>
            <w:noProof/>
            <w:webHidden/>
          </w:rPr>
          <w:instrText xml:space="preserve"> PAGEREF _Toc7608757 \h </w:instrText>
        </w:r>
        <w:r>
          <w:rPr>
            <w:noProof/>
            <w:webHidden/>
          </w:rPr>
        </w:r>
        <w:r>
          <w:rPr>
            <w:noProof/>
            <w:webHidden/>
          </w:rPr>
          <w:fldChar w:fldCharType="separate"/>
        </w:r>
        <w:r>
          <w:rPr>
            <w:noProof/>
            <w:webHidden/>
          </w:rPr>
          <w:t>8</w:t>
        </w:r>
        <w:r>
          <w:rPr>
            <w:noProof/>
            <w:webHidden/>
          </w:rPr>
          <w:fldChar w:fldCharType="end"/>
        </w:r>
      </w:hyperlink>
    </w:p>
    <w:p w14:paraId="555FD571" w14:textId="563C5B5A" w:rsidR="00C105A4" w:rsidRDefault="00C105A4">
      <w:pPr>
        <w:pStyle w:val="TOC2"/>
        <w:tabs>
          <w:tab w:val="left" w:pos="1134"/>
        </w:tabs>
        <w:rPr>
          <w:rFonts w:asciiTheme="minorHAnsi" w:eastAsiaTheme="minorEastAsia" w:hAnsiTheme="minorHAnsi"/>
          <w:noProof/>
          <w:sz w:val="22"/>
          <w:szCs w:val="22"/>
          <w:lang w:val="nl-NL" w:eastAsia="nl-NL"/>
        </w:rPr>
      </w:pPr>
      <w:hyperlink w:anchor="_Toc7608758" w:history="1">
        <w:r w:rsidRPr="006B73F0">
          <w:rPr>
            <w:rStyle w:val="Hyperlink"/>
            <w:noProof/>
            <w:lang w:bidi="en-US"/>
          </w:rPr>
          <w:t>2.5</w:t>
        </w:r>
        <w:r>
          <w:rPr>
            <w:rFonts w:asciiTheme="minorHAnsi" w:eastAsiaTheme="minorEastAsia" w:hAnsiTheme="minorHAnsi"/>
            <w:noProof/>
            <w:sz w:val="22"/>
            <w:szCs w:val="22"/>
            <w:lang w:val="nl-NL" w:eastAsia="nl-NL"/>
          </w:rPr>
          <w:tab/>
        </w:r>
        <w:r w:rsidRPr="006B73F0">
          <w:rPr>
            <w:rStyle w:val="Hyperlink"/>
            <w:noProof/>
            <w:lang w:bidi="en-US"/>
          </w:rPr>
          <w:t>What is the (official) involvement of persons with disabilities and/or their representative organisations in the development of the strategies and plans</w:t>
        </w:r>
        <w:r>
          <w:rPr>
            <w:noProof/>
            <w:webHidden/>
          </w:rPr>
          <w:tab/>
        </w:r>
        <w:r>
          <w:rPr>
            <w:noProof/>
            <w:webHidden/>
          </w:rPr>
          <w:fldChar w:fldCharType="begin"/>
        </w:r>
        <w:r>
          <w:rPr>
            <w:noProof/>
            <w:webHidden/>
          </w:rPr>
          <w:instrText xml:space="preserve"> PAGEREF _Toc7608758 \h </w:instrText>
        </w:r>
        <w:r>
          <w:rPr>
            <w:noProof/>
            <w:webHidden/>
          </w:rPr>
        </w:r>
        <w:r>
          <w:rPr>
            <w:noProof/>
            <w:webHidden/>
          </w:rPr>
          <w:fldChar w:fldCharType="separate"/>
        </w:r>
        <w:r>
          <w:rPr>
            <w:noProof/>
            <w:webHidden/>
          </w:rPr>
          <w:t>8</w:t>
        </w:r>
        <w:r>
          <w:rPr>
            <w:noProof/>
            <w:webHidden/>
          </w:rPr>
          <w:fldChar w:fldCharType="end"/>
        </w:r>
      </w:hyperlink>
    </w:p>
    <w:p w14:paraId="588C3FC5" w14:textId="26EA0EBC" w:rsidR="00C105A4" w:rsidRDefault="00C105A4">
      <w:pPr>
        <w:pStyle w:val="TOC1"/>
        <w:rPr>
          <w:rFonts w:asciiTheme="minorHAnsi" w:eastAsiaTheme="minorEastAsia" w:hAnsiTheme="minorHAnsi"/>
          <w:noProof/>
          <w:sz w:val="22"/>
          <w:szCs w:val="22"/>
          <w:lang w:val="nl-NL" w:eastAsia="nl-NL"/>
        </w:rPr>
      </w:pPr>
      <w:hyperlink w:anchor="_Toc7608759" w:history="1">
        <w:r w:rsidRPr="006B73F0">
          <w:rPr>
            <w:rStyle w:val="Hyperlink"/>
            <w:noProof/>
            <w:lang w:bidi="en-US"/>
          </w:rPr>
          <w:t>3</w:t>
        </w:r>
        <w:r>
          <w:rPr>
            <w:rFonts w:asciiTheme="minorHAnsi" w:eastAsiaTheme="minorEastAsia" w:hAnsiTheme="minorHAnsi"/>
            <w:noProof/>
            <w:sz w:val="22"/>
            <w:szCs w:val="22"/>
            <w:lang w:val="nl-NL" w:eastAsia="nl-NL"/>
          </w:rPr>
          <w:tab/>
        </w:r>
        <w:r w:rsidRPr="006B73F0">
          <w:rPr>
            <w:rStyle w:val="Hyperlink"/>
            <w:noProof/>
            <w:lang w:bidi="en-US"/>
          </w:rPr>
          <w:t>Implementation and monitoring</w:t>
        </w:r>
        <w:r>
          <w:rPr>
            <w:noProof/>
            <w:webHidden/>
          </w:rPr>
          <w:tab/>
        </w:r>
        <w:r>
          <w:rPr>
            <w:noProof/>
            <w:webHidden/>
          </w:rPr>
          <w:fldChar w:fldCharType="begin"/>
        </w:r>
        <w:r>
          <w:rPr>
            <w:noProof/>
            <w:webHidden/>
          </w:rPr>
          <w:instrText xml:space="preserve"> PAGEREF _Toc7608759 \h </w:instrText>
        </w:r>
        <w:r>
          <w:rPr>
            <w:noProof/>
            <w:webHidden/>
          </w:rPr>
        </w:r>
        <w:r>
          <w:rPr>
            <w:noProof/>
            <w:webHidden/>
          </w:rPr>
          <w:fldChar w:fldCharType="separate"/>
        </w:r>
        <w:r>
          <w:rPr>
            <w:noProof/>
            <w:webHidden/>
          </w:rPr>
          <w:t>9</w:t>
        </w:r>
        <w:r>
          <w:rPr>
            <w:noProof/>
            <w:webHidden/>
          </w:rPr>
          <w:fldChar w:fldCharType="end"/>
        </w:r>
      </w:hyperlink>
    </w:p>
    <w:p w14:paraId="17773BBD" w14:textId="1C743E21"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0" w:history="1">
        <w:r w:rsidRPr="006B73F0">
          <w:rPr>
            <w:rStyle w:val="Hyperlink"/>
            <w:noProof/>
            <w:lang w:bidi="en-US"/>
          </w:rPr>
          <w:t>3.1</w:t>
        </w:r>
        <w:r>
          <w:rPr>
            <w:rFonts w:asciiTheme="minorHAnsi" w:eastAsiaTheme="minorEastAsia" w:hAnsiTheme="minorHAnsi"/>
            <w:noProof/>
            <w:sz w:val="22"/>
            <w:szCs w:val="22"/>
            <w:lang w:val="nl-NL" w:eastAsia="nl-NL"/>
          </w:rPr>
          <w:tab/>
        </w:r>
        <w:r w:rsidRPr="006B73F0">
          <w:rPr>
            <w:rStyle w:val="Hyperlink"/>
            <w:noProof/>
            <w:lang w:bidi="en-US"/>
          </w:rPr>
          <w:t>Summary of relevant calls for proposals</w:t>
        </w:r>
        <w:r>
          <w:rPr>
            <w:noProof/>
            <w:webHidden/>
          </w:rPr>
          <w:tab/>
        </w:r>
        <w:r>
          <w:rPr>
            <w:noProof/>
            <w:webHidden/>
          </w:rPr>
          <w:fldChar w:fldCharType="begin"/>
        </w:r>
        <w:r>
          <w:rPr>
            <w:noProof/>
            <w:webHidden/>
          </w:rPr>
          <w:instrText xml:space="preserve"> PAGEREF _Toc7608760 \h </w:instrText>
        </w:r>
        <w:r>
          <w:rPr>
            <w:noProof/>
            <w:webHidden/>
          </w:rPr>
        </w:r>
        <w:r>
          <w:rPr>
            <w:noProof/>
            <w:webHidden/>
          </w:rPr>
          <w:fldChar w:fldCharType="separate"/>
        </w:r>
        <w:r>
          <w:rPr>
            <w:noProof/>
            <w:webHidden/>
          </w:rPr>
          <w:t>9</w:t>
        </w:r>
        <w:r>
          <w:rPr>
            <w:noProof/>
            <w:webHidden/>
          </w:rPr>
          <w:fldChar w:fldCharType="end"/>
        </w:r>
      </w:hyperlink>
    </w:p>
    <w:p w14:paraId="543B8CF6" w14:textId="1C3AF342"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1" w:history="1">
        <w:r w:rsidRPr="006B73F0">
          <w:rPr>
            <w:rStyle w:val="Hyperlink"/>
            <w:noProof/>
            <w:lang w:bidi="en-US"/>
          </w:rPr>
          <w:t>3.2</w:t>
        </w:r>
        <w:r>
          <w:rPr>
            <w:rFonts w:asciiTheme="minorHAnsi" w:eastAsiaTheme="minorEastAsia" w:hAnsiTheme="minorHAnsi"/>
            <w:noProof/>
            <w:sz w:val="22"/>
            <w:szCs w:val="22"/>
            <w:lang w:val="nl-NL" w:eastAsia="nl-NL"/>
          </w:rPr>
          <w:tab/>
        </w:r>
        <w:r w:rsidRPr="006B73F0">
          <w:rPr>
            <w:rStyle w:val="Hyperlink"/>
            <w:noProof/>
            <w:lang w:bidi="en-US"/>
          </w:rPr>
          <w:t>Summary of relevant projects funded</w:t>
        </w:r>
        <w:r>
          <w:rPr>
            <w:noProof/>
            <w:webHidden/>
          </w:rPr>
          <w:tab/>
        </w:r>
        <w:r>
          <w:rPr>
            <w:noProof/>
            <w:webHidden/>
          </w:rPr>
          <w:fldChar w:fldCharType="begin"/>
        </w:r>
        <w:r>
          <w:rPr>
            <w:noProof/>
            <w:webHidden/>
          </w:rPr>
          <w:instrText xml:space="preserve"> PAGEREF _Toc7608761 \h </w:instrText>
        </w:r>
        <w:r>
          <w:rPr>
            <w:noProof/>
            <w:webHidden/>
          </w:rPr>
        </w:r>
        <w:r>
          <w:rPr>
            <w:noProof/>
            <w:webHidden/>
          </w:rPr>
          <w:fldChar w:fldCharType="separate"/>
        </w:r>
        <w:r>
          <w:rPr>
            <w:noProof/>
            <w:webHidden/>
          </w:rPr>
          <w:t>9</w:t>
        </w:r>
        <w:r>
          <w:rPr>
            <w:noProof/>
            <w:webHidden/>
          </w:rPr>
          <w:fldChar w:fldCharType="end"/>
        </w:r>
      </w:hyperlink>
    </w:p>
    <w:p w14:paraId="0B9BA844" w14:textId="038E4A22"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2" w:history="1">
        <w:r w:rsidRPr="006B73F0">
          <w:rPr>
            <w:rStyle w:val="Hyperlink"/>
            <w:noProof/>
            <w:lang w:bidi="en-US"/>
          </w:rPr>
          <w:t>3.3</w:t>
        </w:r>
        <w:r>
          <w:rPr>
            <w:rFonts w:asciiTheme="minorHAnsi" w:eastAsiaTheme="minorEastAsia" w:hAnsiTheme="minorHAnsi"/>
            <w:noProof/>
            <w:sz w:val="22"/>
            <w:szCs w:val="22"/>
            <w:lang w:val="nl-NL" w:eastAsia="nl-NL"/>
          </w:rPr>
          <w:tab/>
        </w:r>
        <w:r w:rsidRPr="006B73F0">
          <w:rPr>
            <w:rStyle w:val="Hyperlink"/>
            <w:noProof/>
            <w:lang w:bidi="en-US"/>
          </w:rPr>
          <w:t>Overview of other relevant measures since 2013</w:t>
        </w:r>
        <w:r>
          <w:rPr>
            <w:noProof/>
            <w:webHidden/>
          </w:rPr>
          <w:tab/>
        </w:r>
        <w:r>
          <w:rPr>
            <w:noProof/>
            <w:webHidden/>
          </w:rPr>
          <w:fldChar w:fldCharType="begin"/>
        </w:r>
        <w:r>
          <w:rPr>
            <w:noProof/>
            <w:webHidden/>
          </w:rPr>
          <w:instrText xml:space="preserve"> PAGEREF _Toc7608762 \h </w:instrText>
        </w:r>
        <w:r>
          <w:rPr>
            <w:noProof/>
            <w:webHidden/>
          </w:rPr>
        </w:r>
        <w:r>
          <w:rPr>
            <w:noProof/>
            <w:webHidden/>
          </w:rPr>
          <w:fldChar w:fldCharType="separate"/>
        </w:r>
        <w:r>
          <w:rPr>
            <w:noProof/>
            <w:webHidden/>
          </w:rPr>
          <w:t>10</w:t>
        </w:r>
        <w:r>
          <w:rPr>
            <w:noProof/>
            <w:webHidden/>
          </w:rPr>
          <w:fldChar w:fldCharType="end"/>
        </w:r>
      </w:hyperlink>
    </w:p>
    <w:p w14:paraId="6D92E595" w14:textId="2E4D3F3C"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3" w:history="1">
        <w:r w:rsidRPr="006B73F0">
          <w:rPr>
            <w:rStyle w:val="Hyperlink"/>
            <w:noProof/>
            <w:lang w:bidi="en-US"/>
          </w:rPr>
          <w:t>3.4</w:t>
        </w:r>
        <w:r>
          <w:rPr>
            <w:rFonts w:asciiTheme="minorHAnsi" w:eastAsiaTheme="minorEastAsia" w:hAnsiTheme="minorHAnsi"/>
            <w:noProof/>
            <w:sz w:val="22"/>
            <w:szCs w:val="22"/>
            <w:lang w:val="nl-NL" w:eastAsia="nl-NL"/>
          </w:rPr>
          <w:tab/>
        </w:r>
        <w:r w:rsidRPr="006B73F0">
          <w:rPr>
            <w:rStyle w:val="Hyperlink"/>
            <w:noProof/>
            <w:lang w:bidi="en-US"/>
          </w:rPr>
          <w:t>Monitoring mechanisms and approaches</w:t>
        </w:r>
        <w:r>
          <w:rPr>
            <w:noProof/>
            <w:webHidden/>
          </w:rPr>
          <w:tab/>
        </w:r>
        <w:r>
          <w:rPr>
            <w:noProof/>
            <w:webHidden/>
          </w:rPr>
          <w:fldChar w:fldCharType="begin"/>
        </w:r>
        <w:r>
          <w:rPr>
            <w:noProof/>
            <w:webHidden/>
          </w:rPr>
          <w:instrText xml:space="preserve"> PAGEREF _Toc7608763 \h </w:instrText>
        </w:r>
        <w:r>
          <w:rPr>
            <w:noProof/>
            <w:webHidden/>
          </w:rPr>
        </w:r>
        <w:r>
          <w:rPr>
            <w:noProof/>
            <w:webHidden/>
          </w:rPr>
          <w:fldChar w:fldCharType="separate"/>
        </w:r>
        <w:r>
          <w:rPr>
            <w:noProof/>
            <w:webHidden/>
          </w:rPr>
          <w:t>11</w:t>
        </w:r>
        <w:r>
          <w:rPr>
            <w:noProof/>
            <w:webHidden/>
          </w:rPr>
          <w:fldChar w:fldCharType="end"/>
        </w:r>
      </w:hyperlink>
    </w:p>
    <w:p w14:paraId="377E7DC4" w14:textId="3A3AD518" w:rsidR="00C105A4" w:rsidRDefault="00C105A4">
      <w:pPr>
        <w:pStyle w:val="TOC1"/>
        <w:rPr>
          <w:rFonts w:asciiTheme="minorHAnsi" w:eastAsiaTheme="minorEastAsia" w:hAnsiTheme="minorHAnsi"/>
          <w:noProof/>
          <w:sz w:val="22"/>
          <w:szCs w:val="22"/>
          <w:lang w:val="nl-NL" w:eastAsia="nl-NL"/>
        </w:rPr>
      </w:pPr>
      <w:hyperlink w:anchor="_Toc7608764" w:history="1">
        <w:r w:rsidRPr="006B73F0">
          <w:rPr>
            <w:rStyle w:val="Hyperlink"/>
            <w:noProof/>
            <w:lang w:bidi="en-US"/>
          </w:rPr>
          <w:t>4</w:t>
        </w:r>
        <w:r>
          <w:rPr>
            <w:rFonts w:asciiTheme="minorHAnsi" w:eastAsiaTheme="minorEastAsia" w:hAnsiTheme="minorHAnsi"/>
            <w:noProof/>
            <w:sz w:val="22"/>
            <w:szCs w:val="22"/>
            <w:lang w:val="nl-NL" w:eastAsia="nl-NL"/>
          </w:rPr>
          <w:tab/>
        </w:r>
        <w:r w:rsidRPr="006B73F0">
          <w:rPr>
            <w:rStyle w:val="Hyperlink"/>
            <w:noProof/>
            <w:lang w:bidi="en-US"/>
          </w:rPr>
          <w:t>Impact and outcomes</w:t>
        </w:r>
        <w:r>
          <w:rPr>
            <w:noProof/>
            <w:webHidden/>
          </w:rPr>
          <w:tab/>
        </w:r>
        <w:r>
          <w:rPr>
            <w:noProof/>
            <w:webHidden/>
          </w:rPr>
          <w:fldChar w:fldCharType="begin"/>
        </w:r>
        <w:r>
          <w:rPr>
            <w:noProof/>
            <w:webHidden/>
          </w:rPr>
          <w:instrText xml:space="preserve"> PAGEREF _Toc7608764 \h </w:instrText>
        </w:r>
        <w:r>
          <w:rPr>
            <w:noProof/>
            <w:webHidden/>
          </w:rPr>
        </w:r>
        <w:r>
          <w:rPr>
            <w:noProof/>
            <w:webHidden/>
          </w:rPr>
          <w:fldChar w:fldCharType="separate"/>
        </w:r>
        <w:r>
          <w:rPr>
            <w:noProof/>
            <w:webHidden/>
          </w:rPr>
          <w:t>12</w:t>
        </w:r>
        <w:r>
          <w:rPr>
            <w:noProof/>
            <w:webHidden/>
          </w:rPr>
          <w:fldChar w:fldCharType="end"/>
        </w:r>
      </w:hyperlink>
    </w:p>
    <w:p w14:paraId="0AAB8CC4" w14:textId="00D82233"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5" w:history="1">
        <w:r w:rsidRPr="006B73F0">
          <w:rPr>
            <w:rStyle w:val="Hyperlink"/>
            <w:noProof/>
            <w:lang w:bidi="en-US"/>
          </w:rPr>
          <w:t>4.1</w:t>
        </w:r>
        <w:r>
          <w:rPr>
            <w:rFonts w:asciiTheme="minorHAnsi" w:eastAsiaTheme="minorEastAsia" w:hAnsiTheme="minorHAnsi"/>
            <w:noProof/>
            <w:sz w:val="22"/>
            <w:szCs w:val="22"/>
            <w:lang w:val="nl-NL" w:eastAsia="nl-NL"/>
          </w:rPr>
          <w:tab/>
        </w:r>
        <w:r w:rsidRPr="006B73F0">
          <w:rPr>
            <w:rStyle w:val="Hyperlink"/>
            <w:noProof/>
            <w:lang w:bidi="en-US"/>
          </w:rPr>
          <w:t>Progress against explicit targets and milestones</w:t>
        </w:r>
        <w:r>
          <w:rPr>
            <w:noProof/>
            <w:webHidden/>
          </w:rPr>
          <w:tab/>
        </w:r>
        <w:r>
          <w:rPr>
            <w:noProof/>
            <w:webHidden/>
          </w:rPr>
          <w:fldChar w:fldCharType="begin"/>
        </w:r>
        <w:r>
          <w:rPr>
            <w:noProof/>
            <w:webHidden/>
          </w:rPr>
          <w:instrText xml:space="preserve"> PAGEREF _Toc7608765 \h </w:instrText>
        </w:r>
        <w:r>
          <w:rPr>
            <w:noProof/>
            <w:webHidden/>
          </w:rPr>
        </w:r>
        <w:r>
          <w:rPr>
            <w:noProof/>
            <w:webHidden/>
          </w:rPr>
          <w:fldChar w:fldCharType="separate"/>
        </w:r>
        <w:r>
          <w:rPr>
            <w:noProof/>
            <w:webHidden/>
          </w:rPr>
          <w:t>12</w:t>
        </w:r>
        <w:r>
          <w:rPr>
            <w:noProof/>
            <w:webHidden/>
          </w:rPr>
          <w:fldChar w:fldCharType="end"/>
        </w:r>
      </w:hyperlink>
    </w:p>
    <w:p w14:paraId="7243F665" w14:textId="6F94771F"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6" w:history="1">
        <w:r w:rsidRPr="006B73F0">
          <w:rPr>
            <w:rStyle w:val="Hyperlink"/>
            <w:noProof/>
            <w:lang w:bidi="en-US"/>
          </w:rPr>
          <w:t>4.2</w:t>
        </w:r>
        <w:r>
          <w:rPr>
            <w:rFonts w:asciiTheme="minorHAnsi" w:eastAsiaTheme="minorEastAsia" w:hAnsiTheme="minorHAnsi"/>
            <w:noProof/>
            <w:sz w:val="22"/>
            <w:szCs w:val="22"/>
            <w:lang w:val="nl-NL" w:eastAsia="nl-NL"/>
          </w:rPr>
          <w:tab/>
        </w:r>
        <w:r w:rsidRPr="006B73F0">
          <w:rPr>
            <w:rStyle w:val="Hyperlink"/>
            <w:noProof/>
            <w:lang w:bidi="en-US"/>
          </w:rPr>
          <w:t>What is replacing institutional care?</w:t>
        </w:r>
        <w:r>
          <w:rPr>
            <w:noProof/>
            <w:webHidden/>
          </w:rPr>
          <w:tab/>
        </w:r>
        <w:r>
          <w:rPr>
            <w:noProof/>
            <w:webHidden/>
          </w:rPr>
          <w:fldChar w:fldCharType="begin"/>
        </w:r>
        <w:r>
          <w:rPr>
            <w:noProof/>
            <w:webHidden/>
          </w:rPr>
          <w:instrText xml:space="preserve"> PAGEREF _Toc7608766 \h </w:instrText>
        </w:r>
        <w:r>
          <w:rPr>
            <w:noProof/>
            <w:webHidden/>
          </w:rPr>
        </w:r>
        <w:r>
          <w:rPr>
            <w:noProof/>
            <w:webHidden/>
          </w:rPr>
          <w:fldChar w:fldCharType="separate"/>
        </w:r>
        <w:r>
          <w:rPr>
            <w:noProof/>
            <w:webHidden/>
          </w:rPr>
          <w:t>12</w:t>
        </w:r>
        <w:r>
          <w:rPr>
            <w:noProof/>
            <w:webHidden/>
          </w:rPr>
          <w:fldChar w:fldCharType="end"/>
        </w:r>
      </w:hyperlink>
    </w:p>
    <w:p w14:paraId="34506D90" w14:textId="246D0CAD" w:rsidR="00C105A4" w:rsidRDefault="00C105A4">
      <w:pPr>
        <w:pStyle w:val="TOC2"/>
        <w:tabs>
          <w:tab w:val="left" w:pos="1134"/>
        </w:tabs>
        <w:rPr>
          <w:rFonts w:asciiTheme="minorHAnsi" w:eastAsiaTheme="minorEastAsia" w:hAnsiTheme="minorHAnsi"/>
          <w:noProof/>
          <w:sz w:val="22"/>
          <w:szCs w:val="22"/>
          <w:lang w:val="nl-NL" w:eastAsia="nl-NL"/>
        </w:rPr>
      </w:pPr>
      <w:hyperlink w:anchor="_Toc7608767" w:history="1">
        <w:r w:rsidRPr="006B73F0">
          <w:rPr>
            <w:rStyle w:val="Hyperlink"/>
            <w:noProof/>
            <w:lang w:bidi="en-US"/>
          </w:rPr>
          <w:t>4.3</w:t>
        </w:r>
        <w:r>
          <w:rPr>
            <w:rFonts w:asciiTheme="minorHAnsi" w:eastAsiaTheme="minorEastAsia" w:hAnsiTheme="minorHAnsi"/>
            <w:noProof/>
            <w:sz w:val="22"/>
            <w:szCs w:val="22"/>
            <w:lang w:val="nl-NL" w:eastAsia="nl-NL"/>
          </w:rPr>
          <w:tab/>
        </w:r>
        <w:r w:rsidRPr="006B73F0">
          <w:rPr>
            <w:rStyle w:val="Hyperlink"/>
            <w:noProof/>
            <w:lang w:bidi="en-US"/>
          </w:rPr>
          <w:t>Satisfaction levels among persons with disabilities</w:t>
        </w:r>
        <w:r>
          <w:rPr>
            <w:noProof/>
            <w:webHidden/>
          </w:rPr>
          <w:tab/>
        </w:r>
        <w:r>
          <w:rPr>
            <w:noProof/>
            <w:webHidden/>
          </w:rPr>
          <w:fldChar w:fldCharType="begin"/>
        </w:r>
        <w:r>
          <w:rPr>
            <w:noProof/>
            <w:webHidden/>
          </w:rPr>
          <w:instrText xml:space="preserve"> PAGEREF _Toc7608767 \h </w:instrText>
        </w:r>
        <w:r>
          <w:rPr>
            <w:noProof/>
            <w:webHidden/>
          </w:rPr>
        </w:r>
        <w:r>
          <w:rPr>
            <w:noProof/>
            <w:webHidden/>
          </w:rPr>
          <w:fldChar w:fldCharType="separate"/>
        </w:r>
        <w:r>
          <w:rPr>
            <w:noProof/>
            <w:webHidden/>
          </w:rPr>
          <w:t>14</w:t>
        </w:r>
        <w:r>
          <w:rPr>
            <w:noProof/>
            <w:webHidden/>
          </w:rPr>
          <w:fldChar w:fldCharType="end"/>
        </w:r>
      </w:hyperlink>
    </w:p>
    <w:p w14:paraId="0C88044F" w14:textId="69EA15E9" w:rsidR="00C105A4" w:rsidRDefault="00C105A4">
      <w:pPr>
        <w:pStyle w:val="TOC1"/>
        <w:rPr>
          <w:rFonts w:asciiTheme="minorHAnsi" w:eastAsiaTheme="minorEastAsia" w:hAnsiTheme="minorHAnsi"/>
          <w:noProof/>
          <w:sz w:val="22"/>
          <w:szCs w:val="22"/>
          <w:lang w:val="nl-NL" w:eastAsia="nl-NL"/>
        </w:rPr>
      </w:pPr>
      <w:hyperlink w:anchor="_Toc7608768" w:history="1">
        <w:r w:rsidRPr="006B73F0">
          <w:rPr>
            <w:rStyle w:val="Hyperlink"/>
            <w:rFonts w:cs="Arial"/>
            <w:noProof/>
            <w:lang w:bidi="en-US"/>
          </w:rPr>
          <w:t>PART B – Critique and evaluation</w:t>
        </w:r>
        <w:r>
          <w:rPr>
            <w:noProof/>
            <w:webHidden/>
          </w:rPr>
          <w:tab/>
        </w:r>
        <w:r>
          <w:rPr>
            <w:noProof/>
            <w:webHidden/>
          </w:rPr>
          <w:fldChar w:fldCharType="begin"/>
        </w:r>
        <w:r>
          <w:rPr>
            <w:noProof/>
            <w:webHidden/>
          </w:rPr>
          <w:instrText xml:space="preserve"> PAGEREF _Toc7608768 \h </w:instrText>
        </w:r>
        <w:r>
          <w:rPr>
            <w:noProof/>
            <w:webHidden/>
          </w:rPr>
        </w:r>
        <w:r>
          <w:rPr>
            <w:noProof/>
            <w:webHidden/>
          </w:rPr>
          <w:fldChar w:fldCharType="separate"/>
        </w:r>
        <w:r>
          <w:rPr>
            <w:noProof/>
            <w:webHidden/>
          </w:rPr>
          <w:t>15</w:t>
        </w:r>
        <w:r>
          <w:rPr>
            <w:noProof/>
            <w:webHidden/>
          </w:rPr>
          <w:fldChar w:fldCharType="end"/>
        </w:r>
      </w:hyperlink>
    </w:p>
    <w:p w14:paraId="5919F9C1" w14:textId="41971DE0" w:rsidR="00C105A4" w:rsidRDefault="00C105A4">
      <w:pPr>
        <w:pStyle w:val="TOC1"/>
        <w:rPr>
          <w:rFonts w:asciiTheme="minorHAnsi" w:eastAsiaTheme="minorEastAsia" w:hAnsiTheme="minorHAnsi"/>
          <w:noProof/>
          <w:sz w:val="22"/>
          <w:szCs w:val="22"/>
          <w:lang w:val="nl-NL" w:eastAsia="nl-NL"/>
        </w:rPr>
      </w:pPr>
      <w:hyperlink w:anchor="_Toc7608769" w:history="1">
        <w:r w:rsidRPr="006B73F0">
          <w:rPr>
            <w:rStyle w:val="Hyperlink"/>
            <w:noProof/>
            <w:lang w:bidi="en-US"/>
          </w:rPr>
          <w:t>5</w:t>
        </w:r>
        <w:r>
          <w:rPr>
            <w:rFonts w:asciiTheme="minorHAnsi" w:eastAsiaTheme="minorEastAsia" w:hAnsiTheme="minorHAnsi"/>
            <w:noProof/>
            <w:sz w:val="22"/>
            <w:szCs w:val="22"/>
            <w:lang w:val="nl-NL" w:eastAsia="nl-NL"/>
          </w:rPr>
          <w:tab/>
        </w:r>
        <w:r w:rsidRPr="006B73F0">
          <w:rPr>
            <w:rStyle w:val="Hyperlink"/>
            <w:noProof/>
            <w:lang w:bidi="en-US"/>
          </w:rPr>
          <w:t>Observations and recommendations of official bodies</w:t>
        </w:r>
        <w:r>
          <w:rPr>
            <w:noProof/>
            <w:webHidden/>
          </w:rPr>
          <w:tab/>
        </w:r>
        <w:r>
          <w:rPr>
            <w:noProof/>
            <w:webHidden/>
          </w:rPr>
          <w:fldChar w:fldCharType="begin"/>
        </w:r>
        <w:r>
          <w:rPr>
            <w:noProof/>
            <w:webHidden/>
          </w:rPr>
          <w:instrText xml:space="preserve"> PAGEREF _Toc7608769 \h </w:instrText>
        </w:r>
        <w:r>
          <w:rPr>
            <w:noProof/>
            <w:webHidden/>
          </w:rPr>
        </w:r>
        <w:r>
          <w:rPr>
            <w:noProof/>
            <w:webHidden/>
          </w:rPr>
          <w:fldChar w:fldCharType="separate"/>
        </w:r>
        <w:r>
          <w:rPr>
            <w:noProof/>
            <w:webHidden/>
          </w:rPr>
          <w:t>15</w:t>
        </w:r>
        <w:r>
          <w:rPr>
            <w:noProof/>
            <w:webHidden/>
          </w:rPr>
          <w:fldChar w:fldCharType="end"/>
        </w:r>
      </w:hyperlink>
    </w:p>
    <w:p w14:paraId="548F3DA6" w14:textId="041DED45"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0" w:history="1">
        <w:r w:rsidRPr="006B73F0">
          <w:rPr>
            <w:rStyle w:val="Hyperlink"/>
            <w:noProof/>
            <w:lang w:bidi="en-US"/>
          </w:rPr>
          <w:t>5.1</w:t>
        </w:r>
        <w:r>
          <w:rPr>
            <w:rFonts w:asciiTheme="minorHAnsi" w:eastAsiaTheme="minorEastAsia" w:hAnsiTheme="minorHAnsi"/>
            <w:noProof/>
            <w:sz w:val="22"/>
            <w:szCs w:val="22"/>
            <w:lang w:val="nl-NL" w:eastAsia="nl-NL"/>
          </w:rPr>
          <w:tab/>
        </w:r>
        <w:r w:rsidRPr="006B73F0">
          <w:rPr>
            <w:rStyle w:val="Hyperlink"/>
            <w:noProof/>
            <w:lang w:bidi="en-US"/>
          </w:rPr>
          <w:t>Observations by the UN Committee on the Rights of Persons with Disabilities on Article 19</w:t>
        </w:r>
        <w:r>
          <w:rPr>
            <w:noProof/>
            <w:webHidden/>
          </w:rPr>
          <w:tab/>
        </w:r>
        <w:r>
          <w:rPr>
            <w:noProof/>
            <w:webHidden/>
          </w:rPr>
          <w:fldChar w:fldCharType="begin"/>
        </w:r>
        <w:r>
          <w:rPr>
            <w:noProof/>
            <w:webHidden/>
          </w:rPr>
          <w:instrText xml:space="preserve"> PAGEREF _Toc7608770 \h </w:instrText>
        </w:r>
        <w:r>
          <w:rPr>
            <w:noProof/>
            <w:webHidden/>
          </w:rPr>
        </w:r>
        <w:r>
          <w:rPr>
            <w:noProof/>
            <w:webHidden/>
          </w:rPr>
          <w:fldChar w:fldCharType="separate"/>
        </w:r>
        <w:r>
          <w:rPr>
            <w:noProof/>
            <w:webHidden/>
          </w:rPr>
          <w:t>15</w:t>
        </w:r>
        <w:r>
          <w:rPr>
            <w:noProof/>
            <w:webHidden/>
          </w:rPr>
          <w:fldChar w:fldCharType="end"/>
        </w:r>
      </w:hyperlink>
    </w:p>
    <w:p w14:paraId="163CEFA9" w14:textId="2EA50D29"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1" w:history="1">
        <w:r w:rsidRPr="006B73F0">
          <w:rPr>
            <w:rStyle w:val="Hyperlink"/>
            <w:noProof/>
            <w:lang w:bidi="en-US"/>
          </w:rPr>
          <w:t>5.2</w:t>
        </w:r>
        <w:r>
          <w:rPr>
            <w:rFonts w:asciiTheme="minorHAnsi" w:eastAsiaTheme="minorEastAsia" w:hAnsiTheme="minorHAnsi"/>
            <w:noProof/>
            <w:sz w:val="22"/>
            <w:szCs w:val="22"/>
            <w:lang w:val="nl-NL" w:eastAsia="nl-NL"/>
          </w:rPr>
          <w:tab/>
        </w:r>
        <w:r w:rsidRPr="006B73F0">
          <w:rPr>
            <w:rStyle w:val="Hyperlink"/>
            <w:noProof/>
            <w:lang w:bidi="en-US"/>
          </w:rPr>
          <w:t>Recent observations by other official European and international bodies</w:t>
        </w:r>
        <w:r>
          <w:rPr>
            <w:noProof/>
            <w:webHidden/>
          </w:rPr>
          <w:tab/>
        </w:r>
        <w:r>
          <w:rPr>
            <w:noProof/>
            <w:webHidden/>
          </w:rPr>
          <w:fldChar w:fldCharType="begin"/>
        </w:r>
        <w:r>
          <w:rPr>
            <w:noProof/>
            <w:webHidden/>
          </w:rPr>
          <w:instrText xml:space="preserve"> PAGEREF _Toc7608771 \h </w:instrText>
        </w:r>
        <w:r>
          <w:rPr>
            <w:noProof/>
            <w:webHidden/>
          </w:rPr>
        </w:r>
        <w:r>
          <w:rPr>
            <w:noProof/>
            <w:webHidden/>
          </w:rPr>
          <w:fldChar w:fldCharType="separate"/>
        </w:r>
        <w:r>
          <w:rPr>
            <w:noProof/>
            <w:webHidden/>
          </w:rPr>
          <w:t>15</w:t>
        </w:r>
        <w:r>
          <w:rPr>
            <w:noProof/>
            <w:webHidden/>
          </w:rPr>
          <w:fldChar w:fldCharType="end"/>
        </w:r>
      </w:hyperlink>
    </w:p>
    <w:p w14:paraId="3AC2DE84" w14:textId="04907CAD"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2" w:history="1">
        <w:r w:rsidRPr="006B73F0">
          <w:rPr>
            <w:rStyle w:val="Hyperlink"/>
            <w:noProof/>
            <w:lang w:bidi="en-US"/>
          </w:rPr>
          <w:t>5.3</w:t>
        </w:r>
        <w:r>
          <w:rPr>
            <w:rFonts w:asciiTheme="minorHAnsi" w:eastAsiaTheme="minorEastAsia" w:hAnsiTheme="minorHAnsi"/>
            <w:noProof/>
            <w:sz w:val="22"/>
            <w:szCs w:val="22"/>
            <w:lang w:val="nl-NL" w:eastAsia="nl-NL"/>
          </w:rPr>
          <w:tab/>
        </w:r>
        <w:r w:rsidRPr="006B73F0">
          <w:rPr>
            <w:rStyle w:val="Hyperlink"/>
            <w:noProof/>
            <w:lang w:bidi="en-US"/>
          </w:rPr>
          <w:t>Observations and recommendations by national human rights bodies</w:t>
        </w:r>
        <w:r>
          <w:rPr>
            <w:noProof/>
            <w:webHidden/>
          </w:rPr>
          <w:tab/>
        </w:r>
        <w:r>
          <w:rPr>
            <w:noProof/>
            <w:webHidden/>
          </w:rPr>
          <w:fldChar w:fldCharType="begin"/>
        </w:r>
        <w:r>
          <w:rPr>
            <w:noProof/>
            <w:webHidden/>
          </w:rPr>
          <w:instrText xml:space="preserve"> PAGEREF _Toc7608772 \h </w:instrText>
        </w:r>
        <w:r>
          <w:rPr>
            <w:noProof/>
            <w:webHidden/>
          </w:rPr>
        </w:r>
        <w:r>
          <w:rPr>
            <w:noProof/>
            <w:webHidden/>
          </w:rPr>
          <w:fldChar w:fldCharType="separate"/>
        </w:r>
        <w:r>
          <w:rPr>
            <w:noProof/>
            <w:webHidden/>
          </w:rPr>
          <w:t>16</w:t>
        </w:r>
        <w:r>
          <w:rPr>
            <w:noProof/>
            <w:webHidden/>
          </w:rPr>
          <w:fldChar w:fldCharType="end"/>
        </w:r>
      </w:hyperlink>
    </w:p>
    <w:p w14:paraId="60DF49AA" w14:textId="267A849C"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3" w:history="1">
        <w:r w:rsidRPr="006B73F0">
          <w:rPr>
            <w:rStyle w:val="Hyperlink"/>
            <w:noProof/>
            <w:lang w:bidi="en-US"/>
          </w:rPr>
          <w:t>5.4</w:t>
        </w:r>
        <w:r>
          <w:rPr>
            <w:rFonts w:asciiTheme="minorHAnsi" w:eastAsiaTheme="minorEastAsia" w:hAnsiTheme="minorHAnsi"/>
            <w:noProof/>
            <w:sz w:val="22"/>
            <w:szCs w:val="22"/>
            <w:lang w:val="nl-NL" w:eastAsia="nl-NL"/>
          </w:rPr>
          <w:tab/>
        </w:r>
        <w:r w:rsidRPr="006B73F0">
          <w:rPr>
            <w:rStyle w:val="Hyperlink"/>
            <w:noProof/>
            <w:lang w:bidi="en-US"/>
          </w:rPr>
          <w:t>Observations and recommendations by national or regional/devolved Parliaments and assemblies</w:t>
        </w:r>
        <w:r>
          <w:rPr>
            <w:noProof/>
            <w:webHidden/>
          </w:rPr>
          <w:tab/>
        </w:r>
        <w:r>
          <w:rPr>
            <w:noProof/>
            <w:webHidden/>
          </w:rPr>
          <w:fldChar w:fldCharType="begin"/>
        </w:r>
        <w:r>
          <w:rPr>
            <w:noProof/>
            <w:webHidden/>
          </w:rPr>
          <w:instrText xml:space="preserve"> PAGEREF _Toc7608773 \h </w:instrText>
        </w:r>
        <w:r>
          <w:rPr>
            <w:noProof/>
            <w:webHidden/>
          </w:rPr>
        </w:r>
        <w:r>
          <w:rPr>
            <w:noProof/>
            <w:webHidden/>
          </w:rPr>
          <w:fldChar w:fldCharType="separate"/>
        </w:r>
        <w:r>
          <w:rPr>
            <w:noProof/>
            <w:webHidden/>
          </w:rPr>
          <w:t>17</w:t>
        </w:r>
        <w:r>
          <w:rPr>
            <w:noProof/>
            <w:webHidden/>
          </w:rPr>
          <w:fldChar w:fldCharType="end"/>
        </w:r>
      </w:hyperlink>
    </w:p>
    <w:p w14:paraId="7119E52F" w14:textId="75E9D290" w:rsidR="00C105A4" w:rsidRDefault="00C105A4">
      <w:pPr>
        <w:pStyle w:val="TOC1"/>
        <w:rPr>
          <w:rFonts w:asciiTheme="minorHAnsi" w:eastAsiaTheme="minorEastAsia" w:hAnsiTheme="minorHAnsi"/>
          <w:noProof/>
          <w:sz w:val="22"/>
          <w:szCs w:val="22"/>
          <w:lang w:val="nl-NL" w:eastAsia="nl-NL"/>
        </w:rPr>
      </w:pPr>
      <w:hyperlink w:anchor="_Toc7608774" w:history="1">
        <w:r w:rsidRPr="006B73F0">
          <w:rPr>
            <w:rStyle w:val="Hyperlink"/>
            <w:noProof/>
            <w:lang w:bidi="en-US"/>
          </w:rPr>
          <w:t>6</w:t>
        </w:r>
        <w:r>
          <w:rPr>
            <w:rFonts w:asciiTheme="minorHAnsi" w:eastAsiaTheme="minorEastAsia" w:hAnsiTheme="minorHAnsi"/>
            <w:noProof/>
            <w:sz w:val="22"/>
            <w:szCs w:val="22"/>
            <w:lang w:val="nl-NL" w:eastAsia="nl-NL"/>
          </w:rPr>
          <w:tab/>
        </w:r>
        <w:r w:rsidRPr="006B73F0">
          <w:rPr>
            <w:rStyle w:val="Hyperlink"/>
            <w:noProof/>
            <w:lang w:bidi="en-US"/>
          </w:rPr>
          <w:t>Views and perspectives of civil society including DPOs</w:t>
        </w:r>
        <w:r>
          <w:rPr>
            <w:noProof/>
            <w:webHidden/>
          </w:rPr>
          <w:tab/>
        </w:r>
        <w:r>
          <w:rPr>
            <w:noProof/>
            <w:webHidden/>
          </w:rPr>
          <w:fldChar w:fldCharType="begin"/>
        </w:r>
        <w:r>
          <w:rPr>
            <w:noProof/>
            <w:webHidden/>
          </w:rPr>
          <w:instrText xml:space="preserve"> PAGEREF _Toc7608774 \h </w:instrText>
        </w:r>
        <w:r>
          <w:rPr>
            <w:noProof/>
            <w:webHidden/>
          </w:rPr>
        </w:r>
        <w:r>
          <w:rPr>
            <w:noProof/>
            <w:webHidden/>
          </w:rPr>
          <w:fldChar w:fldCharType="separate"/>
        </w:r>
        <w:r>
          <w:rPr>
            <w:noProof/>
            <w:webHidden/>
          </w:rPr>
          <w:t>17</w:t>
        </w:r>
        <w:r>
          <w:rPr>
            <w:noProof/>
            <w:webHidden/>
          </w:rPr>
          <w:fldChar w:fldCharType="end"/>
        </w:r>
      </w:hyperlink>
    </w:p>
    <w:p w14:paraId="097A2188" w14:textId="2E40AD75"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5" w:history="1">
        <w:r w:rsidRPr="006B73F0">
          <w:rPr>
            <w:rStyle w:val="Hyperlink"/>
            <w:noProof/>
            <w:lang w:bidi="en-US"/>
          </w:rPr>
          <w:t>6.1</w:t>
        </w:r>
        <w:r>
          <w:rPr>
            <w:rFonts w:asciiTheme="minorHAnsi" w:eastAsiaTheme="minorEastAsia" w:hAnsiTheme="minorHAnsi"/>
            <w:noProof/>
            <w:sz w:val="22"/>
            <w:szCs w:val="22"/>
            <w:lang w:val="nl-NL" w:eastAsia="nl-NL"/>
          </w:rPr>
          <w:tab/>
        </w:r>
        <w:r w:rsidRPr="006B73F0">
          <w:rPr>
            <w:rStyle w:val="Hyperlink"/>
            <w:noProof/>
            <w:lang w:bidi="en-US"/>
          </w:rPr>
          <w:t>UNCRPD civil society shadow and alternative reports</w:t>
        </w:r>
        <w:r>
          <w:rPr>
            <w:noProof/>
            <w:webHidden/>
          </w:rPr>
          <w:tab/>
        </w:r>
        <w:r>
          <w:rPr>
            <w:noProof/>
            <w:webHidden/>
          </w:rPr>
          <w:fldChar w:fldCharType="begin"/>
        </w:r>
        <w:r>
          <w:rPr>
            <w:noProof/>
            <w:webHidden/>
          </w:rPr>
          <w:instrText xml:space="preserve"> PAGEREF _Toc7608775 \h </w:instrText>
        </w:r>
        <w:r>
          <w:rPr>
            <w:noProof/>
            <w:webHidden/>
          </w:rPr>
        </w:r>
        <w:r>
          <w:rPr>
            <w:noProof/>
            <w:webHidden/>
          </w:rPr>
          <w:fldChar w:fldCharType="separate"/>
        </w:r>
        <w:r>
          <w:rPr>
            <w:noProof/>
            <w:webHidden/>
          </w:rPr>
          <w:t>17</w:t>
        </w:r>
        <w:r>
          <w:rPr>
            <w:noProof/>
            <w:webHidden/>
          </w:rPr>
          <w:fldChar w:fldCharType="end"/>
        </w:r>
      </w:hyperlink>
    </w:p>
    <w:p w14:paraId="2D650FC9" w14:textId="1EA1D670"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6" w:history="1">
        <w:r w:rsidRPr="006B73F0">
          <w:rPr>
            <w:rStyle w:val="Hyperlink"/>
            <w:noProof/>
            <w:lang w:bidi="en-US"/>
          </w:rPr>
          <w:t>6.2</w:t>
        </w:r>
        <w:r>
          <w:rPr>
            <w:rFonts w:asciiTheme="minorHAnsi" w:eastAsiaTheme="minorEastAsia" w:hAnsiTheme="minorHAnsi"/>
            <w:noProof/>
            <w:sz w:val="22"/>
            <w:szCs w:val="22"/>
            <w:lang w:val="nl-NL" w:eastAsia="nl-NL"/>
          </w:rPr>
          <w:tab/>
        </w:r>
        <w:r w:rsidRPr="006B73F0">
          <w:rPr>
            <w:rStyle w:val="Hyperlink"/>
            <w:noProof/>
            <w:lang w:bidi="en-US"/>
          </w:rPr>
          <w:t>‘Grey literature’ at the national level</w:t>
        </w:r>
        <w:r>
          <w:rPr>
            <w:noProof/>
            <w:webHidden/>
          </w:rPr>
          <w:tab/>
        </w:r>
        <w:r>
          <w:rPr>
            <w:noProof/>
            <w:webHidden/>
          </w:rPr>
          <w:fldChar w:fldCharType="begin"/>
        </w:r>
        <w:r>
          <w:rPr>
            <w:noProof/>
            <w:webHidden/>
          </w:rPr>
          <w:instrText xml:space="preserve"> PAGEREF _Toc7608776 \h </w:instrText>
        </w:r>
        <w:r>
          <w:rPr>
            <w:noProof/>
            <w:webHidden/>
          </w:rPr>
        </w:r>
        <w:r>
          <w:rPr>
            <w:noProof/>
            <w:webHidden/>
          </w:rPr>
          <w:fldChar w:fldCharType="separate"/>
        </w:r>
        <w:r>
          <w:rPr>
            <w:noProof/>
            <w:webHidden/>
          </w:rPr>
          <w:t>17</w:t>
        </w:r>
        <w:r>
          <w:rPr>
            <w:noProof/>
            <w:webHidden/>
          </w:rPr>
          <w:fldChar w:fldCharType="end"/>
        </w:r>
      </w:hyperlink>
    </w:p>
    <w:p w14:paraId="191B6066" w14:textId="18F4AA7E" w:rsidR="00C105A4" w:rsidRDefault="00C105A4">
      <w:pPr>
        <w:pStyle w:val="TOC2"/>
        <w:tabs>
          <w:tab w:val="left" w:pos="1134"/>
        </w:tabs>
        <w:rPr>
          <w:rFonts w:asciiTheme="minorHAnsi" w:eastAsiaTheme="minorEastAsia" w:hAnsiTheme="minorHAnsi"/>
          <w:noProof/>
          <w:sz w:val="22"/>
          <w:szCs w:val="22"/>
          <w:lang w:val="nl-NL" w:eastAsia="nl-NL"/>
        </w:rPr>
      </w:pPr>
      <w:hyperlink w:anchor="_Toc7608777" w:history="1">
        <w:r w:rsidRPr="006B73F0">
          <w:rPr>
            <w:rStyle w:val="Hyperlink"/>
            <w:noProof/>
            <w:lang w:bidi="en-US"/>
          </w:rPr>
          <w:t>6.3</w:t>
        </w:r>
        <w:r>
          <w:rPr>
            <w:rFonts w:asciiTheme="minorHAnsi" w:eastAsiaTheme="minorEastAsia" w:hAnsiTheme="minorHAnsi"/>
            <w:noProof/>
            <w:sz w:val="22"/>
            <w:szCs w:val="22"/>
            <w:lang w:val="nl-NL" w:eastAsia="nl-NL"/>
          </w:rPr>
          <w:tab/>
        </w:r>
        <w:r w:rsidRPr="006B73F0">
          <w:rPr>
            <w:rStyle w:val="Hyperlink"/>
            <w:noProof/>
            <w:lang w:bidi="en-US"/>
          </w:rPr>
          <w:t>Pan-European and international civil society organisations</w:t>
        </w:r>
        <w:r>
          <w:rPr>
            <w:noProof/>
            <w:webHidden/>
          </w:rPr>
          <w:tab/>
        </w:r>
        <w:r>
          <w:rPr>
            <w:noProof/>
            <w:webHidden/>
          </w:rPr>
          <w:fldChar w:fldCharType="begin"/>
        </w:r>
        <w:r>
          <w:rPr>
            <w:noProof/>
            <w:webHidden/>
          </w:rPr>
          <w:instrText xml:space="preserve"> PAGEREF _Toc7608777 \h </w:instrText>
        </w:r>
        <w:r>
          <w:rPr>
            <w:noProof/>
            <w:webHidden/>
          </w:rPr>
        </w:r>
        <w:r>
          <w:rPr>
            <w:noProof/>
            <w:webHidden/>
          </w:rPr>
          <w:fldChar w:fldCharType="separate"/>
        </w:r>
        <w:r>
          <w:rPr>
            <w:noProof/>
            <w:webHidden/>
          </w:rPr>
          <w:t>18</w:t>
        </w:r>
        <w:r>
          <w:rPr>
            <w:noProof/>
            <w:webHidden/>
          </w:rPr>
          <w:fldChar w:fldCharType="end"/>
        </w:r>
      </w:hyperlink>
    </w:p>
    <w:p w14:paraId="4A4DDC61" w14:textId="23679C1B" w:rsidR="00C105A4" w:rsidRDefault="00C105A4">
      <w:pPr>
        <w:pStyle w:val="TOC1"/>
        <w:rPr>
          <w:rFonts w:asciiTheme="minorHAnsi" w:eastAsiaTheme="minorEastAsia" w:hAnsiTheme="minorHAnsi"/>
          <w:noProof/>
          <w:sz w:val="22"/>
          <w:szCs w:val="22"/>
          <w:lang w:val="nl-NL" w:eastAsia="nl-NL"/>
        </w:rPr>
      </w:pPr>
      <w:hyperlink w:anchor="_Toc7608778" w:history="1">
        <w:r w:rsidRPr="006B73F0">
          <w:rPr>
            <w:rStyle w:val="Hyperlink"/>
            <w:noProof/>
            <w:lang w:bidi="en-US"/>
          </w:rPr>
          <w:t>7</w:t>
        </w:r>
        <w:r>
          <w:rPr>
            <w:rFonts w:asciiTheme="minorHAnsi" w:eastAsiaTheme="minorEastAsia" w:hAnsiTheme="minorHAnsi"/>
            <w:noProof/>
            <w:sz w:val="22"/>
            <w:szCs w:val="22"/>
            <w:lang w:val="nl-NL" w:eastAsia="nl-NL"/>
          </w:rPr>
          <w:tab/>
        </w:r>
        <w:r w:rsidRPr="006B73F0">
          <w:rPr>
            <w:rStyle w:val="Hyperlink"/>
            <w:noProof/>
            <w:lang w:bidi="en-US"/>
          </w:rPr>
          <w:t>Academic research</w:t>
        </w:r>
        <w:r>
          <w:rPr>
            <w:noProof/>
            <w:webHidden/>
          </w:rPr>
          <w:tab/>
        </w:r>
        <w:r>
          <w:rPr>
            <w:noProof/>
            <w:webHidden/>
          </w:rPr>
          <w:fldChar w:fldCharType="begin"/>
        </w:r>
        <w:r>
          <w:rPr>
            <w:noProof/>
            <w:webHidden/>
          </w:rPr>
          <w:instrText xml:space="preserve"> PAGEREF _Toc7608778 \h </w:instrText>
        </w:r>
        <w:r>
          <w:rPr>
            <w:noProof/>
            <w:webHidden/>
          </w:rPr>
        </w:r>
        <w:r>
          <w:rPr>
            <w:noProof/>
            <w:webHidden/>
          </w:rPr>
          <w:fldChar w:fldCharType="separate"/>
        </w:r>
        <w:r>
          <w:rPr>
            <w:noProof/>
            <w:webHidden/>
          </w:rPr>
          <w:t>19</w:t>
        </w:r>
        <w:r>
          <w:rPr>
            <w:noProof/>
            <w:webHidden/>
          </w:rPr>
          <w:fldChar w:fldCharType="end"/>
        </w:r>
      </w:hyperlink>
    </w:p>
    <w:p w14:paraId="280C5F57" w14:textId="5EAB31BB" w:rsidR="00C105A4" w:rsidRDefault="00C105A4">
      <w:pPr>
        <w:pStyle w:val="TOC1"/>
        <w:rPr>
          <w:rFonts w:asciiTheme="minorHAnsi" w:eastAsiaTheme="minorEastAsia" w:hAnsiTheme="minorHAnsi"/>
          <w:noProof/>
          <w:sz w:val="22"/>
          <w:szCs w:val="22"/>
          <w:lang w:val="nl-NL" w:eastAsia="nl-NL"/>
        </w:rPr>
      </w:pPr>
      <w:hyperlink w:anchor="_Toc7608779" w:history="1">
        <w:r w:rsidRPr="006B73F0">
          <w:rPr>
            <w:rStyle w:val="Hyperlink"/>
            <w:rFonts w:cs="Arial"/>
            <w:noProof/>
            <w:lang w:bidi="en-US"/>
          </w:rPr>
          <w:t>PART C – Key points</w:t>
        </w:r>
        <w:r>
          <w:rPr>
            <w:noProof/>
            <w:webHidden/>
          </w:rPr>
          <w:tab/>
        </w:r>
        <w:r>
          <w:rPr>
            <w:noProof/>
            <w:webHidden/>
          </w:rPr>
          <w:fldChar w:fldCharType="begin"/>
        </w:r>
        <w:r>
          <w:rPr>
            <w:noProof/>
            <w:webHidden/>
          </w:rPr>
          <w:instrText xml:space="preserve"> PAGEREF _Toc7608779 \h </w:instrText>
        </w:r>
        <w:r>
          <w:rPr>
            <w:noProof/>
            <w:webHidden/>
          </w:rPr>
        </w:r>
        <w:r>
          <w:rPr>
            <w:noProof/>
            <w:webHidden/>
          </w:rPr>
          <w:fldChar w:fldCharType="separate"/>
        </w:r>
        <w:r>
          <w:rPr>
            <w:noProof/>
            <w:webHidden/>
          </w:rPr>
          <w:t>20</w:t>
        </w:r>
        <w:r>
          <w:rPr>
            <w:noProof/>
            <w:webHidden/>
          </w:rPr>
          <w:fldChar w:fldCharType="end"/>
        </w:r>
      </w:hyperlink>
    </w:p>
    <w:p w14:paraId="7DB247DF" w14:textId="4427100D" w:rsidR="00C105A4" w:rsidRDefault="00C105A4">
      <w:pPr>
        <w:pStyle w:val="TOC1"/>
        <w:rPr>
          <w:rFonts w:asciiTheme="minorHAnsi" w:eastAsiaTheme="minorEastAsia" w:hAnsiTheme="minorHAnsi"/>
          <w:noProof/>
          <w:sz w:val="22"/>
          <w:szCs w:val="22"/>
          <w:lang w:val="nl-NL" w:eastAsia="nl-NL"/>
        </w:rPr>
      </w:pPr>
      <w:hyperlink w:anchor="_Toc7608780" w:history="1">
        <w:r w:rsidRPr="006B73F0">
          <w:rPr>
            <w:rStyle w:val="Hyperlink"/>
            <w:noProof/>
            <w:lang w:bidi="en-US"/>
          </w:rPr>
          <w:t>8</w:t>
        </w:r>
        <w:r>
          <w:rPr>
            <w:rFonts w:asciiTheme="minorHAnsi" w:eastAsiaTheme="minorEastAsia" w:hAnsiTheme="minorHAnsi"/>
            <w:noProof/>
            <w:sz w:val="22"/>
            <w:szCs w:val="22"/>
            <w:lang w:val="nl-NL" w:eastAsia="nl-NL"/>
          </w:rPr>
          <w:tab/>
        </w:r>
        <w:r w:rsidRPr="006B73F0">
          <w:rPr>
            <w:rStyle w:val="Hyperlink"/>
            <w:noProof/>
            <w:lang w:bidi="en-US"/>
          </w:rPr>
          <w:t>Positive developments, including promising practice examples</w:t>
        </w:r>
        <w:r>
          <w:rPr>
            <w:noProof/>
            <w:webHidden/>
          </w:rPr>
          <w:tab/>
        </w:r>
        <w:r>
          <w:rPr>
            <w:noProof/>
            <w:webHidden/>
          </w:rPr>
          <w:fldChar w:fldCharType="begin"/>
        </w:r>
        <w:r>
          <w:rPr>
            <w:noProof/>
            <w:webHidden/>
          </w:rPr>
          <w:instrText xml:space="preserve"> PAGEREF _Toc7608780 \h </w:instrText>
        </w:r>
        <w:r>
          <w:rPr>
            <w:noProof/>
            <w:webHidden/>
          </w:rPr>
        </w:r>
        <w:r>
          <w:rPr>
            <w:noProof/>
            <w:webHidden/>
          </w:rPr>
          <w:fldChar w:fldCharType="separate"/>
        </w:r>
        <w:r>
          <w:rPr>
            <w:noProof/>
            <w:webHidden/>
          </w:rPr>
          <w:t>20</w:t>
        </w:r>
        <w:r>
          <w:rPr>
            <w:noProof/>
            <w:webHidden/>
          </w:rPr>
          <w:fldChar w:fldCharType="end"/>
        </w:r>
      </w:hyperlink>
    </w:p>
    <w:p w14:paraId="3B7C29DA" w14:textId="154C140C" w:rsidR="00C105A4" w:rsidRDefault="00C105A4">
      <w:pPr>
        <w:pStyle w:val="TOC1"/>
        <w:rPr>
          <w:rFonts w:asciiTheme="minorHAnsi" w:eastAsiaTheme="minorEastAsia" w:hAnsiTheme="minorHAnsi"/>
          <w:noProof/>
          <w:sz w:val="22"/>
          <w:szCs w:val="22"/>
          <w:lang w:val="nl-NL" w:eastAsia="nl-NL"/>
        </w:rPr>
      </w:pPr>
      <w:hyperlink w:anchor="_Toc7608781" w:history="1">
        <w:r w:rsidRPr="006B73F0">
          <w:rPr>
            <w:rStyle w:val="Hyperlink"/>
            <w:noProof/>
            <w:lang w:bidi="en-US"/>
          </w:rPr>
          <w:t>9</w:t>
        </w:r>
        <w:r>
          <w:rPr>
            <w:rFonts w:asciiTheme="minorHAnsi" w:eastAsiaTheme="minorEastAsia" w:hAnsiTheme="minorHAnsi"/>
            <w:noProof/>
            <w:sz w:val="22"/>
            <w:szCs w:val="22"/>
            <w:lang w:val="nl-NL" w:eastAsia="nl-NL"/>
          </w:rPr>
          <w:tab/>
        </w:r>
        <w:r w:rsidRPr="006B73F0">
          <w:rPr>
            <w:rStyle w:val="Hyperlink"/>
            <w:noProof/>
            <w:lang w:bidi="en-US"/>
          </w:rPr>
          <w:t>Negative developments including examples of poor practice</w:t>
        </w:r>
        <w:r>
          <w:rPr>
            <w:noProof/>
            <w:webHidden/>
          </w:rPr>
          <w:tab/>
        </w:r>
        <w:r>
          <w:rPr>
            <w:noProof/>
            <w:webHidden/>
          </w:rPr>
          <w:fldChar w:fldCharType="begin"/>
        </w:r>
        <w:r>
          <w:rPr>
            <w:noProof/>
            <w:webHidden/>
          </w:rPr>
          <w:instrText xml:space="preserve"> PAGEREF _Toc7608781 \h </w:instrText>
        </w:r>
        <w:r>
          <w:rPr>
            <w:noProof/>
            <w:webHidden/>
          </w:rPr>
        </w:r>
        <w:r>
          <w:rPr>
            <w:noProof/>
            <w:webHidden/>
          </w:rPr>
          <w:fldChar w:fldCharType="separate"/>
        </w:r>
        <w:r>
          <w:rPr>
            <w:noProof/>
            <w:webHidden/>
          </w:rPr>
          <w:t>20</w:t>
        </w:r>
        <w:r>
          <w:rPr>
            <w:noProof/>
            <w:webHidden/>
          </w:rPr>
          <w:fldChar w:fldCharType="end"/>
        </w:r>
      </w:hyperlink>
    </w:p>
    <w:p w14:paraId="255E6325" w14:textId="7ED3F5B9" w:rsidR="00C105A4" w:rsidRDefault="00C105A4">
      <w:pPr>
        <w:pStyle w:val="TOC1"/>
        <w:rPr>
          <w:rFonts w:asciiTheme="minorHAnsi" w:eastAsiaTheme="minorEastAsia" w:hAnsiTheme="minorHAnsi"/>
          <w:noProof/>
          <w:sz w:val="22"/>
          <w:szCs w:val="22"/>
          <w:lang w:val="nl-NL" w:eastAsia="nl-NL"/>
        </w:rPr>
      </w:pPr>
      <w:hyperlink w:anchor="_Toc7608782" w:history="1">
        <w:r w:rsidRPr="006B73F0">
          <w:rPr>
            <w:rStyle w:val="Hyperlink"/>
            <w:noProof/>
            <w:lang w:bidi="en-US"/>
          </w:rPr>
          <w:t>10</w:t>
        </w:r>
        <w:r>
          <w:rPr>
            <w:rFonts w:asciiTheme="minorHAnsi" w:eastAsiaTheme="minorEastAsia" w:hAnsiTheme="minorHAnsi"/>
            <w:noProof/>
            <w:sz w:val="22"/>
            <w:szCs w:val="22"/>
            <w:lang w:val="nl-NL" w:eastAsia="nl-NL"/>
          </w:rPr>
          <w:tab/>
        </w:r>
        <w:r w:rsidRPr="006B73F0">
          <w:rPr>
            <w:rStyle w:val="Hyperlink"/>
            <w:noProof/>
            <w:lang w:bidi="en-US"/>
          </w:rPr>
          <w:t>Recommendations</w:t>
        </w:r>
        <w:r>
          <w:rPr>
            <w:noProof/>
            <w:webHidden/>
          </w:rPr>
          <w:tab/>
        </w:r>
        <w:r>
          <w:rPr>
            <w:noProof/>
            <w:webHidden/>
          </w:rPr>
          <w:fldChar w:fldCharType="begin"/>
        </w:r>
        <w:r>
          <w:rPr>
            <w:noProof/>
            <w:webHidden/>
          </w:rPr>
          <w:instrText xml:space="preserve"> PAGEREF _Toc7608782 \h </w:instrText>
        </w:r>
        <w:r>
          <w:rPr>
            <w:noProof/>
            <w:webHidden/>
          </w:rPr>
        </w:r>
        <w:r>
          <w:rPr>
            <w:noProof/>
            <w:webHidden/>
          </w:rPr>
          <w:fldChar w:fldCharType="separate"/>
        </w:r>
        <w:r>
          <w:rPr>
            <w:noProof/>
            <w:webHidden/>
          </w:rPr>
          <w:t>21</w:t>
        </w:r>
        <w:r>
          <w:rPr>
            <w:noProof/>
            <w:webHidden/>
          </w:rPr>
          <w:fldChar w:fldCharType="end"/>
        </w:r>
      </w:hyperlink>
    </w:p>
    <w:p w14:paraId="4332A4F7" w14:textId="7677AF71" w:rsidR="00A75929" w:rsidRPr="000844FE" w:rsidRDefault="00A75929" w:rsidP="000844FE">
      <w:pPr>
        <w:rPr>
          <w:rFonts w:eastAsiaTheme="majorEastAsia" w:cs="Arial"/>
          <w:b/>
          <w:bCs/>
          <w:szCs w:val="24"/>
          <w:lang w:bidi="en-US"/>
        </w:rPr>
      </w:pPr>
      <w:r w:rsidRPr="000844FE">
        <w:rPr>
          <w:rFonts w:cs="Arial"/>
          <w:szCs w:val="24"/>
        </w:rPr>
        <w:fldChar w:fldCharType="end"/>
      </w:r>
      <w:r w:rsidRPr="000844FE">
        <w:rPr>
          <w:rFonts w:cs="Arial"/>
          <w:szCs w:val="24"/>
        </w:rPr>
        <w:br w:type="page"/>
      </w:r>
    </w:p>
    <w:p w14:paraId="04974B3B" w14:textId="0F1D2992" w:rsidR="008E4ACD" w:rsidRPr="000844FE" w:rsidRDefault="008E4ACD" w:rsidP="000844FE">
      <w:pPr>
        <w:pStyle w:val="Heading1"/>
        <w:numPr>
          <w:ilvl w:val="0"/>
          <w:numId w:val="0"/>
        </w:numPr>
        <w:rPr>
          <w:rFonts w:cs="Arial"/>
          <w:szCs w:val="24"/>
        </w:rPr>
      </w:pPr>
      <w:bookmarkStart w:id="3" w:name="_Toc529874055"/>
      <w:bookmarkStart w:id="4" w:name="_Toc7608749"/>
      <w:r w:rsidRPr="000844FE">
        <w:rPr>
          <w:rFonts w:cs="Arial"/>
          <w:szCs w:val="24"/>
        </w:rPr>
        <w:lastRenderedPageBreak/>
        <w:t>PART A</w:t>
      </w:r>
      <w:bookmarkEnd w:id="0"/>
      <w:r w:rsidR="00622FC0" w:rsidRPr="000844FE">
        <w:rPr>
          <w:rFonts w:cs="Arial"/>
          <w:szCs w:val="24"/>
        </w:rPr>
        <w:t xml:space="preserve"> – F</w:t>
      </w:r>
      <w:r w:rsidRPr="000844FE">
        <w:rPr>
          <w:rFonts w:cs="Arial"/>
          <w:szCs w:val="24"/>
        </w:rPr>
        <w:t xml:space="preserve">actual </w:t>
      </w:r>
      <w:r w:rsidR="00A75929" w:rsidRPr="000844FE">
        <w:rPr>
          <w:rFonts w:cs="Arial"/>
          <w:szCs w:val="24"/>
        </w:rPr>
        <w:t>i</w:t>
      </w:r>
      <w:r w:rsidRPr="000844FE">
        <w:rPr>
          <w:rFonts w:cs="Arial"/>
          <w:szCs w:val="24"/>
        </w:rPr>
        <w:t xml:space="preserve">nformation and </w:t>
      </w:r>
      <w:r w:rsidR="00A75929" w:rsidRPr="000844FE">
        <w:rPr>
          <w:rFonts w:cs="Arial"/>
          <w:szCs w:val="24"/>
        </w:rPr>
        <w:t>s</w:t>
      </w:r>
      <w:r w:rsidR="00ED6A9A" w:rsidRPr="000844FE">
        <w:rPr>
          <w:rFonts w:cs="Arial"/>
          <w:szCs w:val="24"/>
        </w:rPr>
        <w:t xml:space="preserve">tatistical </w:t>
      </w:r>
      <w:r w:rsidR="00A75929" w:rsidRPr="000844FE">
        <w:rPr>
          <w:rFonts w:cs="Arial"/>
          <w:szCs w:val="24"/>
        </w:rPr>
        <w:t>d</w:t>
      </w:r>
      <w:r w:rsidRPr="000844FE">
        <w:rPr>
          <w:rFonts w:cs="Arial"/>
          <w:szCs w:val="24"/>
        </w:rPr>
        <w:t>ata</w:t>
      </w:r>
      <w:bookmarkEnd w:id="3"/>
      <w:bookmarkEnd w:id="4"/>
    </w:p>
    <w:p w14:paraId="3B2DC03F" w14:textId="77777777" w:rsidR="008E4ACD" w:rsidRPr="000844FE" w:rsidRDefault="008E4ACD" w:rsidP="000844FE">
      <w:pPr>
        <w:rPr>
          <w:rFonts w:cs="Arial"/>
          <w:szCs w:val="24"/>
        </w:rPr>
      </w:pPr>
    </w:p>
    <w:p w14:paraId="7166CAFE" w14:textId="7D1BB444" w:rsidR="008E4ACD" w:rsidRPr="000844FE" w:rsidRDefault="008E4ACD" w:rsidP="000844FE">
      <w:pPr>
        <w:pStyle w:val="Heading1"/>
        <w:rPr>
          <w:rFonts w:cs="Arial"/>
          <w:szCs w:val="24"/>
        </w:rPr>
      </w:pPr>
      <w:bookmarkStart w:id="5" w:name="_Toc529874056"/>
      <w:bookmarkStart w:id="6" w:name="_Toc7608750"/>
      <w:bookmarkEnd w:id="1"/>
      <w:bookmarkEnd w:id="2"/>
      <w:r w:rsidRPr="000844FE">
        <w:rPr>
          <w:rFonts w:cs="Arial"/>
          <w:szCs w:val="24"/>
        </w:rPr>
        <w:t>Current situation and direction of travel</w:t>
      </w:r>
      <w:bookmarkEnd w:id="5"/>
      <w:bookmarkEnd w:id="6"/>
    </w:p>
    <w:p w14:paraId="0F865E53" w14:textId="77777777" w:rsidR="008E4ACD" w:rsidRPr="000844FE" w:rsidRDefault="008E4ACD" w:rsidP="000844FE">
      <w:pPr>
        <w:rPr>
          <w:rFonts w:cs="Arial"/>
          <w:szCs w:val="24"/>
        </w:rPr>
      </w:pPr>
    </w:p>
    <w:p w14:paraId="30DD46EF" w14:textId="2B8FF302" w:rsidR="008E4ACD" w:rsidRPr="000844FE" w:rsidRDefault="008E4ACD" w:rsidP="000844FE">
      <w:pPr>
        <w:pStyle w:val="Heading2"/>
        <w:rPr>
          <w:rFonts w:cs="Arial"/>
          <w:szCs w:val="24"/>
        </w:rPr>
      </w:pPr>
      <w:bookmarkStart w:id="7" w:name="_Toc529874057"/>
      <w:bookmarkStart w:id="8" w:name="_Toc7608751"/>
      <w:r w:rsidRPr="000844FE">
        <w:rPr>
          <w:rFonts w:cs="Arial"/>
          <w:szCs w:val="24"/>
        </w:rPr>
        <w:t xml:space="preserve">Numbers and proportions of disabled children and adults residing in institutional care or </w:t>
      </w:r>
      <w:r w:rsidR="00A75929" w:rsidRPr="000844FE">
        <w:rPr>
          <w:rFonts w:cs="Arial"/>
          <w:szCs w:val="24"/>
        </w:rPr>
        <w:t>community-based</w:t>
      </w:r>
      <w:r w:rsidRPr="000844FE">
        <w:rPr>
          <w:rFonts w:cs="Arial"/>
          <w:szCs w:val="24"/>
        </w:rPr>
        <w:t xml:space="preserve"> settings</w:t>
      </w:r>
      <w:bookmarkEnd w:id="7"/>
      <w:bookmarkEnd w:id="8"/>
    </w:p>
    <w:p w14:paraId="33F6FBD1" w14:textId="77777777" w:rsidR="008E4ACD" w:rsidRPr="000844FE" w:rsidRDefault="008E4ACD" w:rsidP="000844FE">
      <w:pPr>
        <w:pStyle w:val="ListParagraph"/>
        <w:ind w:left="360"/>
        <w:rPr>
          <w:rFonts w:cs="Arial"/>
          <w:szCs w:val="24"/>
        </w:rPr>
      </w:pPr>
    </w:p>
    <w:p w14:paraId="66064702" w14:textId="04C3EA5E" w:rsidR="009C63A9" w:rsidRPr="000844FE" w:rsidRDefault="008E4ACD" w:rsidP="000844FE">
      <w:pPr>
        <w:pStyle w:val="Heading3"/>
        <w:rPr>
          <w:rFonts w:cs="Arial"/>
          <w:b/>
          <w:szCs w:val="24"/>
        </w:rPr>
      </w:pPr>
      <w:r w:rsidRPr="000844FE">
        <w:rPr>
          <w:rFonts w:cs="Arial"/>
          <w:szCs w:val="24"/>
        </w:rPr>
        <w:t>Current figures</w:t>
      </w:r>
    </w:p>
    <w:p w14:paraId="018F0B58" w14:textId="77777777" w:rsidR="00ED6E53" w:rsidRPr="000844FE" w:rsidRDefault="00ED6E53" w:rsidP="000844FE">
      <w:pPr>
        <w:pStyle w:val="Un-numberedsubheading"/>
        <w:spacing w:after="0"/>
        <w:rPr>
          <w:b w:val="0"/>
        </w:rPr>
      </w:pPr>
    </w:p>
    <w:p w14:paraId="7527F5A7" w14:textId="03BD466E" w:rsidR="003B37B4" w:rsidRPr="000844FE" w:rsidRDefault="004C17C5" w:rsidP="000844FE">
      <w:pPr>
        <w:pStyle w:val="Un-numberedsubheading"/>
        <w:spacing w:after="0"/>
        <w:rPr>
          <w:b w:val="0"/>
        </w:rPr>
      </w:pPr>
      <w:r w:rsidRPr="000844FE">
        <w:rPr>
          <w:b w:val="0"/>
        </w:rPr>
        <w:t>P</w:t>
      </w:r>
      <w:r w:rsidR="009C63A9" w:rsidRPr="000844FE">
        <w:rPr>
          <w:b w:val="0"/>
        </w:rPr>
        <w:t>ublic sector residential</w:t>
      </w:r>
      <w:r w:rsidR="00EE10F0" w:rsidRPr="000844FE">
        <w:rPr>
          <w:b w:val="0"/>
        </w:rPr>
        <w:t xml:space="preserve"> and </w:t>
      </w:r>
      <w:r w:rsidR="00F50E2F" w:rsidRPr="000844FE">
        <w:rPr>
          <w:b w:val="0"/>
        </w:rPr>
        <w:t>community-based</w:t>
      </w:r>
      <w:r w:rsidRPr="000844FE">
        <w:rPr>
          <w:b w:val="0"/>
        </w:rPr>
        <w:t xml:space="preserve"> care units are</w:t>
      </w:r>
      <w:r w:rsidR="009C63A9" w:rsidRPr="000844FE">
        <w:rPr>
          <w:b w:val="0"/>
        </w:rPr>
        <w:t xml:space="preserve"> monitored every two years by the National Statistical Service. In 2017, </w:t>
      </w:r>
      <w:r w:rsidR="00D06BB8" w:rsidRPr="000844FE">
        <w:rPr>
          <w:b w:val="0"/>
        </w:rPr>
        <w:t>44 institutions were recorded</w:t>
      </w:r>
      <w:r w:rsidR="00B72018" w:rsidRPr="000844FE">
        <w:rPr>
          <w:b w:val="0"/>
        </w:rPr>
        <w:t xml:space="preserve"> providing services to persons with impairments and chronic illness</w:t>
      </w:r>
      <w:r w:rsidR="009C63A9" w:rsidRPr="000844FE">
        <w:rPr>
          <w:b w:val="0"/>
        </w:rPr>
        <w:t>,</w:t>
      </w:r>
      <w:r w:rsidR="00B72018" w:rsidRPr="000844FE">
        <w:rPr>
          <w:b w:val="0"/>
        </w:rPr>
        <w:t xml:space="preserve"> children, elderly people, refuges and homeless population,</w:t>
      </w:r>
      <w:r w:rsidR="009C63A9" w:rsidRPr="000844FE">
        <w:rPr>
          <w:b w:val="0"/>
        </w:rPr>
        <w:t xml:space="preserve"> with almost half of them (47.7</w:t>
      </w:r>
      <w:r w:rsidR="004766FA" w:rsidRPr="000844FE">
        <w:rPr>
          <w:b w:val="0"/>
        </w:rPr>
        <w:t xml:space="preserve"> </w:t>
      </w:r>
      <w:r w:rsidR="009C63A9" w:rsidRPr="000844FE">
        <w:rPr>
          <w:b w:val="0"/>
        </w:rPr>
        <w:t>%) providing services for persons with disabilities</w:t>
      </w:r>
      <w:r w:rsidR="004766FA" w:rsidRPr="000844FE">
        <w:rPr>
          <w:b w:val="0"/>
        </w:rPr>
        <w:t>.</w:t>
      </w:r>
      <w:r w:rsidR="009C63A9" w:rsidRPr="000844FE">
        <w:rPr>
          <w:rStyle w:val="FootnoteReference"/>
          <w:b w:val="0"/>
          <w:sz w:val="24"/>
        </w:rPr>
        <w:footnoteReference w:id="1"/>
      </w:r>
      <w:r w:rsidR="003B37B4" w:rsidRPr="000844FE">
        <w:rPr>
          <w:b w:val="0"/>
        </w:rPr>
        <w:t xml:space="preserve"> 1</w:t>
      </w:r>
      <w:r w:rsidR="004674D7" w:rsidRPr="000844FE">
        <w:rPr>
          <w:b w:val="0"/>
        </w:rPr>
        <w:t xml:space="preserve">,642 disabled </w:t>
      </w:r>
      <w:r w:rsidRPr="000844FE">
        <w:rPr>
          <w:b w:val="0"/>
        </w:rPr>
        <w:t>people lived</w:t>
      </w:r>
      <w:r w:rsidR="00D06BB8" w:rsidRPr="000844FE">
        <w:rPr>
          <w:b w:val="0"/>
        </w:rPr>
        <w:t xml:space="preserve"> in institutions</w:t>
      </w:r>
      <w:r w:rsidR="004674D7" w:rsidRPr="000844FE">
        <w:rPr>
          <w:b w:val="0"/>
        </w:rPr>
        <w:t xml:space="preserve"> and another </w:t>
      </w:r>
      <w:r w:rsidR="003B37B4" w:rsidRPr="000844FE">
        <w:rPr>
          <w:b w:val="0"/>
        </w:rPr>
        <w:t>460</w:t>
      </w:r>
      <w:r w:rsidR="004674D7" w:rsidRPr="000844FE">
        <w:rPr>
          <w:b w:val="0"/>
        </w:rPr>
        <w:t xml:space="preserve"> received rehabilitation services</w:t>
      </w:r>
      <w:r w:rsidR="003B37B4" w:rsidRPr="000844FE">
        <w:rPr>
          <w:b w:val="0"/>
        </w:rPr>
        <w:t xml:space="preserve"> in</w:t>
      </w:r>
      <w:r w:rsidR="00311C1C" w:rsidRPr="000844FE">
        <w:rPr>
          <w:b w:val="0"/>
        </w:rPr>
        <w:t xml:space="preserve"> residential units</w:t>
      </w:r>
      <w:r w:rsidR="00D06BB8" w:rsidRPr="000844FE">
        <w:rPr>
          <w:b w:val="0"/>
        </w:rPr>
        <w:t xml:space="preserve"> that year</w:t>
      </w:r>
      <w:r w:rsidR="004674D7" w:rsidRPr="000844FE">
        <w:rPr>
          <w:b w:val="0"/>
        </w:rPr>
        <w:t>.</w:t>
      </w:r>
      <w:r w:rsidR="004674D7" w:rsidRPr="000844FE">
        <w:rPr>
          <w:rStyle w:val="FootnoteReference"/>
          <w:b w:val="0"/>
          <w:sz w:val="24"/>
        </w:rPr>
        <w:footnoteReference w:id="2"/>
      </w:r>
    </w:p>
    <w:p w14:paraId="0DA3C6BB" w14:textId="0CAFDF1A" w:rsidR="00D06BB8" w:rsidRPr="000844FE" w:rsidRDefault="00D06BB8" w:rsidP="000844FE">
      <w:pPr>
        <w:pStyle w:val="Un-numberedsubheading"/>
        <w:spacing w:after="0"/>
        <w:rPr>
          <w:b w:val="0"/>
        </w:rPr>
      </w:pPr>
    </w:p>
    <w:p w14:paraId="1D96680E" w14:textId="25A73702" w:rsidR="00D33CA3" w:rsidRPr="000844FE" w:rsidRDefault="003B1415" w:rsidP="000844FE">
      <w:pPr>
        <w:pStyle w:val="Un-numberedsubheading"/>
        <w:spacing w:after="0"/>
        <w:rPr>
          <w:b w:val="0"/>
        </w:rPr>
      </w:pPr>
      <w:r w:rsidRPr="000844FE">
        <w:rPr>
          <w:b w:val="0"/>
        </w:rPr>
        <w:t>T</w:t>
      </w:r>
      <w:r w:rsidR="00EF6F11" w:rsidRPr="000844FE">
        <w:rPr>
          <w:b w:val="0"/>
        </w:rPr>
        <w:t xml:space="preserve">here is </w:t>
      </w:r>
      <w:r w:rsidRPr="000844FE">
        <w:rPr>
          <w:b w:val="0"/>
        </w:rPr>
        <w:t xml:space="preserve">reportedly </w:t>
      </w:r>
      <w:r w:rsidR="009C63A9" w:rsidRPr="000844FE">
        <w:rPr>
          <w:b w:val="0"/>
        </w:rPr>
        <w:t>a</w:t>
      </w:r>
      <w:r w:rsidR="0065472C" w:rsidRPr="000844FE">
        <w:rPr>
          <w:b w:val="0"/>
        </w:rPr>
        <w:t>n equally</w:t>
      </w:r>
      <w:r w:rsidR="009C63A9" w:rsidRPr="000844FE">
        <w:rPr>
          <w:b w:val="0"/>
        </w:rPr>
        <w:t xml:space="preserve"> </w:t>
      </w:r>
      <w:r w:rsidRPr="000844FE">
        <w:rPr>
          <w:b w:val="0"/>
        </w:rPr>
        <w:t xml:space="preserve">high </w:t>
      </w:r>
      <w:r w:rsidR="009C63A9" w:rsidRPr="000844FE">
        <w:rPr>
          <w:b w:val="0"/>
        </w:rPr>
        <w:t xml:space="preserve">number of private </w:t>
      </w:r>
      <w:r w:rsidR="00EF6F11" w:rsidRPr="000844FE">
        <w:rPr>
          <w:b w:val="0"/>
        </w:rPr>
        <w:t>institutions (</w:t>
      </w:r>
      <w:r w:rsidR="009C63A9" w:rsidRPr="000844FE">
        <w:rPr>
          <w:b w:val="0"/>
        </w:rPr>
        <w:t>charity/ church led),</w:t>
      </w:r>
      <w:r w:rsidR="002E4565" w:rsidRPr="000844FE">
        <w:rPr>
          <w:b w:val="0"/>
        </w:rPr>
        <w:t xml:space="preserve"> however data is not systematically collected</w:t>
      </w:r>
      <w:r w:rsidRPr="000844FE">
        <w:rPr>
          <w:b w:val="0"/>
        </w:rPr>
        <w:t xml:space="preserve"> and/or reported</w:t>
      </w:r>
      <w:r w:rsidR="002E4565" w:rsidRPr="000844FE">
        <w:rPr>
          <w:b w:val="0"/>
        </w:rPr>
        <w:t xml:space="preserve"> in those settings</w:t>
      </w:r>
      <w:r w:rsidR="000844FE">
        <w:rPr>
          <w:b w:val="0"/>
        </w:rPr>
        <w:t>.</w:t>
      </w:r>
      <w:r w:rsidR="002E4565" w:rsidRPr="000844FE">
        <w:rPr>
          <w:rStyle w:val="FootnoteReference"/>
          <w:b w:val="0"/>
          <w:sz w:val="24"/>
        </w:rPr>
        <w:footnoteReference w:id="3"/>
      </w:r>
      <w:r w:rsidRPr="000844FE">
        <w:rPr>
          <w:b w:val="0"/>
        </w:rPr>
        <w:t xml:space="preserve"> </w:t>
      </w:r>
      <w:r w:rsidR="00E6343F" w:rsidRPr="000844FE">
        <w:rPr>
          <w:b w:val="0"/>
        </w:rPr>
        <w:t>Indicatively, the</w:t>
      </w:r>
      <w:r w:rsidR="00EF6F11" w:rsidRPr="000844FE">
        <w:rPr>
          <w:b w:val="0"/>
        </w:rPr>
        <w:t xml:space="preserve"> Greek Child Ombudsman </w:t>
      </w:r>
      <w:r w:rsidR="002E4565" w:rsidRPr="000844FE">
        <w:rPr>
          <w:b w:val="0"/>
        </w:rPr>
        <w:t>(2015)</w:t>
      </w:r>
      <w:r w:rsidR="00E6343F" w:rsidRPr="000844FE">
        <w:rPr>
          <w:b w:val="0"/>
        </w:rPr>
        <w:t xml:space="preserve"> noted that</w:t>
      </w:r>
      <w:r w:rsidR="002E4565" w:rsidRPr="000844FE">
        <w:rPr>
          <w:b w:val="0"/>
        </w:rPr>
        <w:t xml:space="preserve"> </w:t>
      </w:r>
      <w:r w:rsidR="00EF6F11" w:rsidRPr="000844FE">
        <w:rPr>
          <w:b w:val="0"/>
        </w:rPr>
        <w:t>2,000 children</w:t>
      </w:r>
      <w:r w:rsidR="002E4565" w:rsidRPr="000844FE">
        <w:rPr>
          <w:b w:val="0"/>
        </w:rPr>
        <w:t xml:space="preserve"> were hosted in private institutions,</w:t>
      </w:r>
      <w:r w:rsidR="00EF6F11" w:rsidRPr="000844FE">
        <w:rPr>
          <w:b w:val="0"/>
        </w:rPr>
        <w:t xml:space="preserve"> in addition to 1,000 children hosted in public sector institutions</w:t>
      </w:r>
      <w:r w:rsidR="000844FE">
        <w:rPr>
          <w:b w:val="0"/>
        </w:rPr>
        <w:t>.</w:t>
      </w:r>
      <w:r w:rsidR="00EF6F11" w:rsidRPr="000844FE">
        <w:rPr>
          <w:rStyle w:val="FootnoteReference"/>
          <w:b w:val="0"/>
          <w:sz w:val="24"/>
        </w:rPr>
        <w:footnoteReference w:id="4"/>
      </w:r>
      <w:r w:rsidR="0063248C" w:rsidRPr="000844FE">
        <w:rPr>
          <w:b w:val="0"/>
        </w:rPr>
        <w:t xml:space="preserve"> A study by the Roots Research Centre in 2015 </w:t>
      </w:r>
      <w:r w:rsidR="002E4565" w:rsidRPr="000844FE">
        <w:rPr>
          <w:b w:val="0"/>
        </w:rPr>
        <w:t xml:space="preserve">similarly </w:t>
      </w:r>
      <w:r w:rsidR="0063248C" w:rsidRPr="000844FE">
        <w:rPr>
          <w:b w:val="0"/>
        </w:rPr>
        <w:t>mapped in total 82 institutions hosting 2,825 children</w:t>
      </w:r>
      <w:r w:rsidR="004766FA" w:rsidRPr="000844FE">
        <w:rPr>
          <w:b w:val="0"/>
        </w:rPr>
        <w:t>.</w:t>
      </w:r>
      <w:r w:rsidR="0063248C" w:rsidRPr="000844FE">
        <w:rPr>
          <w:rStyle w:val="FootnoteReference"/>
          <w:b w:val="0"/>
          <w:sz w:val="24"/>
        </w:rPr>
        <w:footnoteReference w:id="5"/>
      </w:r>
      <w:r w:rsidR="0063248C" w:rsidRPr="000844FE">
        <w:rPr>
          <w:b w:val="0"/>
        </w:rPr>
        <w:t xml:space="preserve"> </w:t>
      </w:r>
      <w:r w:rsidR="002E4565" w:rsidRPr="000844FE">
        <w:rPr>
          <w:b w:val="0"/>
        </w:rPr>
        <w:t xml:space="preserve">The </w:t>
      </w:r>
      <w:r w:rsidR="009E590E" w:rsidRPr="000844FE">
        <w:rPr>
          <w:b w:val="0"/>
        </w:rPr>
        <w:t>Greek NGO’s Network for C</w:t>
      </w:r>
      <w:r w:rsidR="00881E11" w:rsidRPr="000844FE">
        <w:rPr>
          <w:b w:val="0"/>
        </w:rPr>
        <w:t xml:space="preserve">onvention on the </w:t>
      </w:r>
      <w:r w:rsidR="009E590E" w:rsidRPr="000844FE">
        <w:rPr>
          <w:b w:val="0"/>
        </w:rPr>
        <w:t>R</w:t>
      </w:r>
      <w:r w:rsidR="00881E11" w:rsidRPr="000844FE">
        <w:rPr>
          <w:b w:val="0"/>
        </w:rPr>
        <w:t xml:space="preserve">ights of the </w:t>
      </w:r>
      <w:r w:rsidR="009E590E" w:rsidRPr="000844FE">
        <w:rPr>
          <w:b w:val="0"/>
        </w:rPr>
        <w:t>C</w:t>
      </w:r>
      <w:r w:rsidR="00881E11" w:rsidRPr="000844FE">
        <w:rPr>
          <w:b w:val="0"/>
        </w:rPr>
        <w:t>hild</w:t>
      </w:r>
      <w:r w:rsidR="009E590E" w:rsidRPr="000844FE">
        <w:rPr>
          <w:b w:val="0"/>
        </w:rPr>
        <w:t xml:space="preserve"> </w:t>
      </w:r>
      <w:r w:rsidR="00BD59A7" w:rsidRPr="000844FE">
        <w:rPr>
          <w:b w:val="0"/>
        </w:rPr>
        <w:t>in 2011</w:t>
      </w:r>
      <w:r w:rsidR="009E590E" w:rsidRPr="000844FE">
        <w:rPr>
          <w:b w:val="0"/>
        </w:rPr>
        <w:t xml:space="preserve">, </w:t>
      </w:r>
      <w:r w:rsidR="002E4565" w:rsidRPr="000844FE">
        <w:rPr>
          <w:b w:val="0"/>
        </w:rPr>
        <w:t xml:space="preserve">had </w:t>
      </w:r>
      <w:r w:rsidR="009C63A9" w:rsidRPr="000844FE">
        <w:rPr>
          <w:b w:val="0"/>
        </w:rPr>
        <w:t>pointed out that</w:t>
      </w:r>
      <w:r w:rsidR="002E4565" w:rsidRPr="000844FE">
        <w:rPr>
          <w:b w:val="0"/>
        </w:rPr>
        <w:t xml:space="preserve"> </w:t>
      </w:r>
      <w:r w:rsidR="002E4565" w:rsidRPr="000844FE">
        <w:rPr>
          <w:b w:val="0"/>
          <w:i/>
        </w:rPr>
        <w:t>in total 3,000 persons</w:t>
      </w:r>
      <w:r w:rsidR="009C63A9" w:rsidRPr="000844FE">
        <w:rPr>
          <w:b w:val="0"/>
          <w:i/>
        </w:rPr>
        <w:t xml:space="preserve"> with disabilities</w:t>
      </w:r>
      <w:r w:rsidR="009C63A9" w:rsidRPr="000844FE">
        <w:rPr>
          <w:b w:val="0"/>
        </w:rPr>
        <w:t xml:space="preserve"> </w:t>
      </w:r>
      <w:r w:rsidR="002E4565" w:rsidRPr="000844FE">
        <w:rPr>
          <w:b w:val="0"/>
        </w:rPr>
        <w:t xml:space="preserve">were </w:t>
      </w:r>
      <w:r w:rsidR="009C63A9" w:rsidRPr="000844FE">
        <w:rPr>
          <w:b w:val="0"/>
        </w:rPr>
        <w:t xml:space="preserve">estimated to live in </w:t>
      </w:r>
      <w:r w:rsidR="009A5C89" w:rsidRPr="000844FE">
        <w:rPr>
          <w:b w:val="0"/>
        </w:rPr>
        <w:t xml:space="preserve">long-stay </w:t>
      </w:r>
      <w:r w:rsidR="009C63A9" w:rsidRPr="000844FE">
        <w:rPr>
          <w:b w:val="0"/>
        </w:rPr>
        <w:t>institutions</w:t>
      </w:r>
      <w:r w:rsidR="00BD59A7" w:rsidRPr="000844FE">
        <w:rPr>
          <w:b w:val="0"/>
        </w:rPr>
        <w:t xml:space="preserve"> at the time</w:t>
      </w:r>
      <w:r w:rsidR="009C63A9" w:rsidRPr="000844FE">
        <w:rPr>
          <w:b w:val="0"/>
        </w:rPr>
        <w:t xml:space="preserve">, </w:t>
      </w:r>
      <w:r w:rsidR="002E4565" w:rsidRPr="000844FE">
        <w:rPr>
          <w:b w:val="0"/>
        </w:rPr>
        <w:t xml:space="preserve">of whom </w:t>
      </w:r>
      <w:r w:rsidR="009C63A9" w:rsidRPr="000844FE">
        <w:rPr>
          <w:b w:val="0"/>
        </w:rPr>
        <w:t>30</w:t>
      </w:r>
      <w:r w:rsidR="000844FE" w:rsidRPr="000844FE">
        <w:rPr>
          <w:b w:val="0"/>
        </w:rPr>
        <w:t xml:space="preserve"> </w:t>
      </w:r>
      <w:r w:rsidR="009C63A9" w:rsidRPr="000844FE">
        <w:rPr>
          <w:b w:val="0"/>
        </w:rPr>
        <w:t>%</w:t>
      </w:r>
      <w:r w:rsidR="009A5C89" w:rsidRPr="000844FE">
        <w:rPr>
          <w:b w:val="0"/>
        </w:rPr>
        <w:t xml:space="preserve"> were</w:t>
      </w:r>
      <w:r w:rsidR="009C63A9" w:rsidRPr="000844FE">
        <w:rPr>
          <w:b w:val="0"/>
        </w:rPr>
        <w:t xml:space="preserve"> children, adolescents and youth</w:t>
      </w:r>
      <w:r w:rsidR="009A5C89" w:rsidRPr="000844FE">
        <w:rPr>
          <w:b w:val="0"/>
        </w:rPr>
        <w:t>,</w:t>
      </w:r>
      <w:r w:rsidR="009C63A9" w:rsidRPr="000844FE">
        <w:rPr>
          <w:b w:val="0"/>
        </w:rPr>
        <w:t xml:space="preserve"> many </w:t>
      </w:r>
      <w:r w:rsidR="009A5C89" w:rsidRPr="000844FE">
        <w:rPr>
          <w:b w:val="0"/>
        </w:rPr>
        <w:t xml:space="preserve">of whom would spend their whole life </w:t>
      </w:r>
      <w:r w:rsidR="00D33CA3" w:rsidRPr="000844FE">
        <w:rPr>
          <w:b w:val="0"/>
        </w:rPr>
        <w:t>there</w:t>
      </w:r>
      <w:r w:rsidR="000844FE" w:rsidRPr="000844FE">
        <w:rPr>
          <w:b w:val="0"/>
        </w:rPr>
        <w:t>.</w:t>
      </w:r>
      <w:r w:rsidR="009E590E" w:rsidRPr="000844FE">
        <w:rPr>
          <w:rStyle w:val="FootnoteReference"/>
          <w:b w:val="0"/>
          <w:sz w:val="24"/>
        </w:rPr>
        <w:footnoteReference w:id="6"/>
      </w:r>
    </w:p>
    <w:p w14:paraId="604E595D" w14:textId="77777777" w:rsidR="002E4565" w:rsidRPr="000844FE" w:rsidRDefault="002E4565" w:rsidP="000844FE">
      <w:pPr>
        <w:pStyle w:val="Un-numberedsubheading"/>
        <w:spacing w:after="0"/>
        <w:rPr>
          <w:b w:val="0"/>
        </w:rPr>
      </w:pPr>
    </w:p>
    <w:p w14:paraId="3001716B" w14:textId="30887D06" w:rsidR="002E4565" w:rsidRPr="000844FE" w:rsidRDefault="002E4565" w:rsidP="000844FE">
      <w:pPr>
        <w:pStyle w:val="Un-numberedsubheading"/>
        <w:spacing w:after="0"/>
        <w:rPr>
          <w:b w:val="0"/>
        </w:rPr>
      </w:pPr>
      <w:r w:rsidRPr="000844FE">
        <w:rPr>
          <w:b w:val="0"/>
        </w:rPr>
        <w:t>Finally,</w:t>
      </w:r>
      <w:r w:rsidR="00784D7B" w:rsidRPr="000844FE">
        <w:rPr>
          <w:b w:val="0"/>
        </w:rPr>
        <w:t xml:space="preserve"> data is available on</w:t>
      </w:r>
      <w:r w:rsidRPr="000844FE">
        <w:rPr>
          <w:b w:val="0"/>
        </w:rPr>
        <w:t xml:space="preserve"> the number of person</w:t>
      </w:r>
      <w:r w:rsidR="007521DB" w:rsidRPr="000844FE">
        <w:rPr>
          <w:b w:val="0"/>
        </w:rPr>
        <w:t>s with intellectual disability</w:t>
      </w:r>
      <w:r w:rsidRPr="000844FE">
        <w:rPr>
          <w:b w:val="0"/>
        </w:rPr>
        <w:t xml:space="preserve"> </w:t>
      </w:r>
      <w:r w:rsidR="0065472C" w:rsidRPr="000844FE">
        <w:rPr>
          <w:b w:val="0"/>
        </w:rPr>
        <w:t xml:space="preserve">residing </w:t>
      </w:r>
      <w:r w:rsidRPr="000844FE">
        <w:rPr>
          <w:b w:val="0"/>
        </w:rPr>
        <w:t>in Supported Living Shelters</w:t>
      </w:r>
      <w:r w:rsidR="004C17C5" w:rsidRPr="000844FE">
        <w:rPr>
          <w:b w:val="0"/>
        </w:rPr>
        <w:t xml:space="preserve">, </w:t>
      </w:r>
      <w:r w:rsidR="00784D7B" w:rsidRPr="000844FE">
        <w:rPr>
          <w:b w:val="0"/>
        </w:rPr>
        <w:t xml:space="preserve">the single </w:t>
      </w:r>
      <w:r w:rsidR="00F50E2F" w:rsidRPr="000844FE">
        <w:rPr>
          <w:b w:val="0"/>
        </w:rPr>
        <w:t>community-based</w:t>
      </w:r>
      <w:r w:rsidR="00784D7B" w:rsidRPr="000844FE">
        <w:rPr>
          <w:b w:val="0"/>
        </w:rPr>
        <w:t xml:space="preserve"> alternative</w:t>
      </w:r>
      <w:r w:rsidR="0065472C" w:rsidRPr="000844FE">
        <w:rPr>
          <w:b w:val="0"/>
        </w:rPr>
        <w:t xml:space="preserve"> </w:t>
      </w:r>
      <w:r w:rsidR="00784D7B" w:rsidRPr="000844FE">
        <w:rPr>
          <w:b w:val="0"/>
        </w:rPr>
        <w:t>to institutional residential care in the country</w:t>
      </w:r>
      <w:r w:rsidR="004C17C5" w:rsidRPr="000844FE">
        <w:rPr>
          <w:b w:val="0"/>
        </w:rPr>
        <w:t xml:space="preserve"> currently</w:t>
      </w:r>
      <w:r w:rsidR="00881E11" w:rsidRPr="000844FE">
        <w:rPr>
          <w:b w:val="0"/>
        </w:rPr>
        <w:t xml:space="preserve"> (Please see s</w:t>
      </w:r>
      <w:r w:rsidR="00F50AE5" w:rsidRPr="000844FE">
        <w:rPr>
          <w:b w:val="0"/>
        </w:rPr>
        <w:t>ection 4.2.1 for further information</w:t>
      </w:r>
      <w:r w:rsidR="00881E11" w:rsidRPr="000844FE">
        <w:rPr>
          <w:b w:val="0"/>
        </w:rPr>
        <w:t>)</w:t>
      </w:r>
      <w:r w:rsidR="00784D7B" w:rsidRPr="000844FE">
        <w:rPr>
          <w:b w:val="0"/>
        </w:rPr>
        <w:t>. I</w:t>
      </w:r>
      <w:r w:rsidR="009554B0" w:rsidRPr="000844FE">
        <w:rPr>
          <w:b w:val="0"/>
        </w:rPr>
        <w:t>n 201</w:t>
      </w:r>
      <w:r w:rsidR="00A373B7" w:rsidRPr="000844FE">
        <w:rPr>
          <w:b w:val="0"/>
        </w:rPr>
        <w:t>7</w:t>
      </w:r>
      <w:r w:rsidR="00784D7B" w:rsidRPr="000844FE">
        <w:rPr>
          <w:b w:val="0"/>
        </w:rPr>
        <w:t>, 267 individuals were</w:t>
      </w:r>
      <w:r w:rsidR="004C17C5" w:rsidRPr="000844FE">
        <w:rPr>
          <w:b w:val="0"/>
        </w:rPr>
        <w:t xml:space="preserve"> hosted in 42 units </w:t>
      </w:r>
      <w:r w:rsidRPr="000844FE">
        <w:rPr>
          <w:b w:val="0"/>
        </w:rPr>
        <w:t>across Greece</w:t>
      </w:r>
      <w:r w:rsidR="000844FE">
        <w:rPr>
          <w:b w:val="0"/>
        </w:rPr>
        <w:t>,</w:t>
      </w:r>
      <w:r w:rsidRPr="000844FE">
        <w:rPr>
          <w:rStyle w:val="FootnoteReference"/>
          <w:b w:val="0"/>
          <w:sz w:val="24"/>
        </w:rPr>
        <w:footnoteReference w:id="7"/>
      </w:r>
      <w:r w:rsidRPr="000844FE">
        <w:rPr>
          <w:b w:val="0"/>
        </w:rPr>
        <w:t xml:space="preserve"> of which </w:t>
      </w:r>
      <w:r w:rsidRPr="000844FE">
        <w:rPr>
          <w:b w:val="0"/>
        </w:rPr>
        <w:lastRenderedPageBreak/>
        <w:t>18 were run by civil society actors</w:t>
      </w:r>
      <w:r w:rsidR="000844FE">
        <w:rPr>
          <w:b w:val="0"/>
        </w:rPr>
        <w:t>.</w:t>
      </w:r>
      <w:r w:rsidRPr="000844FE">
        <w:rPr>
          <w:rStyle w:val="FootnoteReference"/>
          <w:b w:val="0"/>
          <w:sz w:val="24"/>
        </w:rPr>
        <w:footnoteReference w:id="8"/>
      </w:r>
      <w:r w:rsidRPr="000844FE">
        <w:rPr>
          <w:b w:val="0"/>
        </w:rPr>
        <w:t xml:space="preserve"> </w:t>
      </w:r>
      <w:r w:rsidR="004C17C5" w:rsidRPr="000844FE">
        <w:rPr>
          <w:b w:val="0"/>
        </w:rPr>
        <w:t>Based on current capacity, it</w:t>
      </w:r>
      <w:r w:rsidRPr="000844FE">
        <w:rPr>
          <w:b w:val="0"/>
        </w:rPr>
        <w:t xml:space="preserve"> is estimated </w:t>
      </w:r>
      <w:r w:rsidR="004C17C5" w:rsidRPr="000844FE">
        <w:rPr>
          <w:b w:val="0"/>
        </w:rPr>
        <w:t xml:space="preserve">that </w:t>
      </w:r>
      <w:r w:rsidRPr="000844FE">
        <w:rPr>
          <w:b w:val="0"/>
        </w:rPr>
        <w:t>three places</w:t>
      </w:r>
      <w:r w:rsidR="004C17C5" w:rsidRPr="000844FE">
        <w:rPr>
          <w:b w:val="0"/>
        </w:rPr>
        <w:t xml:space="preserve"> are available for every 200 individuals with intellectual disability</w:t>
      </w:r>
      <w:r w:rsidRPr="000844FE">
        <w:rPr>
          <w:b w:val="0"/>
        </w:rPr>
        <w:t xml:space="preserve"> in Greece</w:t>
      </w:r>
      <w:r w:rsidR="00D76AEC">
        <w:rPr>
          <w:b w:val="0"/>
        </w:rPr>
        <w:t>.</w:t>
      </w:r>
      <w:r w:rsidRPr="000844FE">
        <w:rPr>
          <w:rStyle w:val="FootnoteReference"/>
          <w:b w:val="0"/>
          <w:sz w:val="24"/>
        </w:rPr>
        <w:footnoteReference w:id="9"/>
      </w:r>
    </w:p>
    <w:p w14:paraId="65A40A68" w14:textId="77777777" w:rsidR="00D33CA3" w:rsidRPr="000844FE" w:rsidRDefault="00D33CA3" w:rsidP="000844FE">
      <w:pPr>
        <w:pStyle w:val="Un-numberedsubheading"/>
        <w:spacing w:after="0"/>
        <w:rPr>
          <w:b w:val="0"/>
        </w:rPr>
      </w:pPr>
    </w:p>
    <w:p w14:paraId="724F3142" w14:textId="7A64D7EE" w:rsidR="003B37B4" w:rsidRPr="000844FE" w:rsidRDefault="008E4ACD" w:rsidP="000844FE">
      <w:pPr>
        <w:pStyle w:val="Heading3"/>
        <w:rPr>
          <w:rFonts w:cs="Arial"/>
          <w:szCs w:val="24"/>
        </w:rPr>
      </w:pPr>
      <w:r w:rsidRPr="000844FE">
        <w:rPr>
          <w:rFonts w:cs="Arial"/>
          <w:szCs w:val="24"/>
        </w:rPr>
        <w:t>Trend since 2013</w:t>
      </w:r>
    </w:p>
    <w:p w14:paraId="2AEF1162" w14:textId="77777777" w:rsidR="00D76AEC" w:rsidRDefault="00D76AEC" w:rsidP="000844FE">
      <w:pPr>
        <w:pStyle w:val="Un-numberedsubheading"/>
        <w:spacing w:after="0"/>
        <w:rPr>
          <w:b w:val="0"/>
        </w:rPr>
      </w:pPr>
    </w:p>
    <w:p w14:paraId="1C7DBFD3" w14:textId="6E51433F" w:rsidR="00311C1C" w:rsidRPr="000844FE" w:rsidRDefault="00311C1C" w:rsidP="000844FE">
      <w:pPr>
        <w:pStyle w:val="Un-numberedsubheading"/>
        <w:spacing w:after="0"/>
        <w:rPr>
          <w:b w:val="0"/>
        </w:rPr>
      </w:pPr>
      <w:r w:rsidRPr="000844FE">
        <w:rPr>
          <w:b w:val="0"/>
        </w:rPr>
        <w:t xml:space="preserve">The number of public sector </w:t>
      </w:r>
      <w:r w:rsidR="007070A7" w:rsidRPr="000844FE">
        <w:rPr>
          <w:b w:val="0"/>
        </w:rPr>
        <w:t>residential care units</w:t>
      </w:r>
      <w:r w:rsidRPr="000844FE">
        <w:rPr>
          <w:b w:val="0"/>
        </w:rPr>
        <w:t xml:space="preserve"> has remained stable since 2015, following a slight increase from 2013 (41) to 2015 (44)</w:t>
      </w:r>
      <w:r w:rsidR="00D76AEC">
        <w:rPr>
          <w:b w:val="0"/>
        </w:rPr>
        <w:t>.</w:t>
      </w:r>
      <w:r w:rsidRPr="000844FE">
        <w:rPr>
          <w:rStyle w:val="FootnoteReference"/>
          <w:b w:val="0"/>
          <w:sz w:val="24"/>
        </w:rPr>
        <w:footnoteReference w:id="10"/>
      </w:r>
    </w:p>
    <w:p w14:paraId="0B46813C" w14:textId="77777777" w:rsidR="00240608" w:rsidRPr="000844FE" w:rsidRDefault="00240608" w:rsidP="000844FE">
      <w:pPr>
        <w:pStyle w:val="Un-numberedsubheading"/>
        <w:spacing w:after="0"/>
        <w:rPr>
          <w:b w:val="0"/>
        </w:rPr>
      </w:pPr>
    </w:p>
    <w:p w14:paraId="7FD93E40" w14:textId="5F37F06D" w:rsidR="00D06BB8" w:rsidRPr="000844FE" w:rsidRDefault="003B37B4" w:rsidP="000844FE">
      <w:pPr>
        <w:pStyle w:val="Un-numberedsubheading"/>
        <w:spacing w:after="0"/>
        <w:rPr>
          <w:b w:val="0"/>
        </w:rPr>
      </w:pPr>
      <w:r w:rsidRPr="000844FE">
        <w:rPr>
          <w:b w:val="0"/>
        </w:rPr>
        <w:t>At a first glance, comparative data shows a 6</w:t>
      </w:r>
      <w:r w:rsidR="00D76AEC">
        <w:rPr>
          <w:b w:val="0"/>
        </w:rPr>
        <w:t xml:space="preserve"> </w:t>
      </w:r>
      <w:r w:rsidRPr="000844FE">
        <w:rPr>
          <w:b w:val="0"/>
        </w:rPr>
        <w:t>% decrease in the total number of people provided with services in residential care units from 2015 to 2017, following a 3</w:t>
      </w:r>
      <w:r w:rsidR="00D76AEC">
        <w:rPr>
          <w:b w:val="0"/>
        </w:rPr>
        <w:t> </w:t>
      </w:r>
      <w:r w:rsidRPr="000844FE">
        <w:rPr>
          <w:b w:val="0"/>
        </w:rPr>
        <w:t>% decrease between 2013 and 2015</w:t>
      </w:r>
      <w:r w:rsidR="00D76AEC">
        <w:rPr>
          <w:b w:val="0"/>
        </w:rPr>
        <w:t>.</w:t>
      </w:r>
      <w:r w:rsidRPr="000844FE">
        <w:rPr>
          <w:rStyle w:val="FootnoteReference"/>
          <w:b w:val="0"/>
          <w:sz w:val="24"/>
        </w:rPr>
        <w:footnoteReference w:id="11"/>
      </w:r>
      <w:r w:rsidRPr="000844FE">
        <w:rPr>
          <w:b w:val="0"/>
        </w:rPr>
        <w:t xml:space="preserve"> However, where persons with disabilities are concerned, the reduction has been just over 2</w:t>
      </w:r>
      <w:r w:rsidR="00D76AEC">
        <w:rPr>
          <w:b w:val="0"/>
        </w:rPr>
        <w:t xml:space="preserve"> </w:t>
      </w:r>
      <w:r w:rsidRPr="000844FE">
        <w:rPr>
          <w:b w:val="0"/>
        </w:rPr>
        <w:t xml:space="preserve">%, with 1,642 disabled people residing in </w:t>
      </w:r>
      <w:r w:rsidR="006B073B" w:rsidRPr="000844FE">
        <w:rPr>
          <w:b w:val="0"/>
        </w:rPr>
        <w:t xml:space="preserve">public </w:t>
      </w:r>
      <w:r w:rsidRPr="000844FE">
        <w:rPr>
          <w:b w:val="0"/>
        </w:rPr>
        <w:t>institutions in 2017, as opposed to 1,678 in 2015</w:t>
      </w:r>
      <w:r w:rsidR="007070A7" w:rsidRPr="000844FE">
        <w:rPr>
          <w:b w:val="0"/>
        </w:rPr>
        <w:t xml:space="preserve"> and 1,690 in 2013</w:t>
      </w:r>
      <w:r w:rsidR="00D76AEC">
        <w:rPr>
          <w:b w:val="0"/>
        </w:rPr>
        <w:t>.</w:t>
      </w:r>
      <w:r w:rsidRPr="000844FE">
        <w:rPr>
          <w:rStyle w:val="FootnoteReference"/>
          <w:b w:val="0"/>
          <w:sz w:val="24"/>
        </w:rPr>
        <w:footnoteReference w:id="12"/>
      </w:r>
      <w:r w:rsidRPr="000844FE">
        <w:rPr>
          <w:b w:val="0"/>
        </w:rPr>
        <w:t xml:space="preserve"> The </w:t>
      </w:r>
      <w:r w:rsidR="00340E04" w:rsidRPr="000844FE">
        <w:rPr>
          <w:b w:val="0"/>
        </w:rPr>
        <w:t xml:space="preserve">overall </w:t>
      </w:r>
      <w:r w:rsidRPr="000844FE">
        <w:rPr>
          <w:b w:val="0"/>
        </w:rPr>
        <w:t>number of</w:t>
      </w:r>
      <w:r w:rsidR="00340E04" w:rsidRPr="000844FE">
        <w:rPr>
          <w:b w:val="0"/>
        </w:rPr>
        <w:t xml:space="preserve"> children in institutional care</w:t>
      </w:r>
      <w:r w:rsidR="001D0475" w:rsidRPr="000844FE">
        <w:rPr>
          <w:b w:val="0"/>
        </w:rPr>
        <w:t xml:space="preserve"> slightly increased, while people</w:t>
      </w:r>
      <w:r w:rsidRPr="000844FE">
        <w:rPr>
          <w:b w:val="0"/>
        </w:rPr>
        <w:t xml:space="preserve"> in residential rehabilitati</w:t>
      </w:r>
      <w:r w:rsidR="005C18D5" w:rsidRPr="000844FE">
        <w:rPr>
          <w:b w:val="0"/>
        </w:rPr>
        <w:t>on</w:t>
      </w:r>
      <w:r w:rsidR="001D0475" w:rsidRPr="000844FE">
        <w:rPr>
          <w:b w:val="0"/>
        </w:rPr>
        <w:t xml:space="preserve"> </w:t>
      </w:r>
      <w:r w:rsidR="005C18D5" w:rsidRPr="000844FE">
        <w:rPr>
          <w:b w:val="0"/>
        </w:rPr>
        <w:t xml:space="preserve">units, </w:t>
      </w:r>
      <w:r w:rsidRPr="000844FE">
        <w:rPr>
          <w:b w:val="0"/>
        </w:rPr>
        <w:t>which may also include short-stay</w:t>
      </w:r>
      <w:r w:rsidR="005C18D5" w:rsidRPr="000844FE">
        <w:rPr>
          <w:b w:val="0"/>
        </w:rPr>
        <w:t>,</w:t>
      </w:r>
      <w:r w:rsidR="00340E04" w:rsidRPr="000844FE">
        <w:rPr>
          <w:b w:val="0"/>
        </w:rPr>
        <w:t xml:space="preserve"> increased by 8</w:t>
      </w:r>
      <w:r w:rsidR="00D76AEC">
        <w:rPr>
          <w:b w:val="0"/>
        </w:rPr>
        <w:t xml:space="preserve"> </w:t>
      </w:r>
      <w:r w:rsidR="00340E04" w:rsidRPr="000844FE">
        <w:rPr>
          <w:b w:val="0"/>
        </w:rPr>
        <w:t>%</w:t>
      </w:r>
      <w:r w:rsidR="00D76AEC">
        <w:rPr>
          <w:b w:val="0"/>
        </w:rPr>
        <w:t>.</w:t>
      </w:r>
      <w:r w:rsidRPr="000844FE">
        <w:rPr>
          <w:rStyle w:val="FootnoteReference"/>
          <w:b w:val="0"/>
          <w:sz w:val="24"/>
        </w:rPr>
        <w:footnoteReference w:id="13"/>
      </w:r>
      <w:r w:rsidR="00C1751E" w:rsidRPr="000844FE">
        <w:rPr>
          <w:b w:val="0"/>
        </w:rPr>
        <w:t xml:space="preserve"> The greatest decrease </w:t>
      </w:r>
      <w:r w:rsidR="005F4CB2" w:rsidRPr="000844FE">
        <w:rPr>
          <w:b w:val="0"/>
        </w:rPr>
        <w:t>(-</w:t>
      </w:r>
      <w:r w:rsidR="003E7CA4" w:rsidRPr="000844FE">
        <w:rPr>
          <w:b w:val="0"/>
        </w:rPr>
        <w:t xml:space="preserve"> </w:t>
      </w:r>
      <w:r w:rsidR="005F4CB2" w:rsidRPr="000844FE">
        <w:rPr>
          <w:b w:val="0"/>
        </w:rPr>
        <w:t>46</w:t>
      </w:r>
      <w:r w:rsidR="00D76AEC">
        <w:rPr>
          <w:b w:val="0"/>
        </w:rPr>
        <w:t xml:space="preserve"> </w:t>
      </w:r>
      <w:r w:rsidR="005F4CB2" w:rsidRPr="000844FE">
        <w:rPr>
          <w:b w:val="0"/>
        </w:rPr>
        <w:t xml:space="preserve">%) </w:t>
      </w:r>
      <w:r w:rsidR="00B72018" w:rsidRPr="000844FE">
        <w:rPr>
          <w:b w:val="0"/>
        </w:rPr>
        <w:t xml:space="preserve">is rather noted in the category </w:t>
      </w:r>
      <w:r w:rsidR="005F2DE8" w:rsidRPr="000844FE">
        <w:rPr>
          <w:b w:val="0"/>
        </w:rPr>
        <w:t xml:space="preserve">of </w:t>
      </w:r>
      <w:r w:rsidR="00B72018" w:rsidRPr="000844FE">
        <w:rPr>
          <w:b w:val="0"/>
        </w:rPr>
        <w:t xml:space="preserve">“Other Public Entities”, which mainly includes shelters running under </w:t>
      </w:r>
      <w:r w:rsidR="005F4CB2" w:rsidRPr="000844FE">
        <w:rPr>
          <w:b w:val="0"/>
        </w:rPr>
        <w:t>the National Centre for Social Solidarity</w:t>
      </w:r>
      <w:r w:rsidR="00B72018" w:rsidRPr="000844FE">
        <w:rPr>
          <w:b w:val="0"/>
        </w:rPr>
        <w:t xml:space="preserve"> (EKKA) for the homeless population and unaccompanied </w:t>
      </w:r>
      <w:r w:rsidR="002C52C8" w:rsidRPr="000844FE">
        <w:rPr>
          <w:b w:val="0"/>
        </w:rPr>
        <w:t xml:space="preserve">refugee </w:t>
      </w:r>
      <w:r w:rsidR="00B72018" w:rsidRPr="000844FE">
        <w:rPr>
          <w:b w:val="0"/>
        </w:rPr>
        <w:t xml:space="preserve">minors. </w:t>
      </w:r>
    </w:p>
    <w:p w14:paraId="5A0024B0" w14:textId="77777777" w:rsidR="00D06BB8" w:rsidRPr="000844FE" w:rsidRDefault="00D06BB8" w:rsidP="000844FE">
      <w:pPr>
        <w:pStyle w:val="Un-numberedsubheading"/>
        <w:spacing w:after="0"/>
        <w:rPr>
          <w:b w:val="0"/>
        </w:rPr>
      </w:pPr>
    </w:p>
    <w:p w14:paraId="58C6FDE2" w14:textId="21081326" w:rsidR="00B9719A" w:rsidRPr="000844FE" w:rsidRDefault="00D06BB8" w:rsidP="000844FE">
      <w:pPr>
        <w:pStyle w:val="Un-numberedsubheading"/>
        <w:spacing w:after="0"/>
        <w:rPr>
          <w:b w:val="0"/>
        </w:rPr>
      </w:pPr>
      <w:r w:rsidRPr="000844FE">
        <w:rPr>
          <w:b w:val="0"/>
        </w:rPr>
        <w:t xml:space="preserve">The number of persons with disabilities </w:t>
      </w:r>
      <w:r w:rsidR="00EA1464" w:rsidRPr="000844FE">
        <w:rPr>
          <w:b w:val="0"/>
        </w:rPr>
        <w:t>accessing</w:t>
      </w:r>
      <w:r w:rsidRPr="000844FE">
        <w:rPr>
          <w:b w:val="0"/>
        </w:rPr>
        <w:t xml:space="preserve"> </w:t>
      </w:r>
      <w:r w:rsidR="00FB6D1D" w:rsidRPr="000844FE">
        <w:rPr>
          <w:b w:val="0"/>
          <w:i/>
        </w:rPr>
        <w:t xml:space="preserve">inpatient </w:t>
      </w:r>
      <w:r w:rsidR="00F50AE5" w:rsidRPr="000844FE">
        <w:rPr>
          <w:b w:val="0"/>
          <w:i/>
        </w:rPr>
        <w:t>rehabilitation</w:t>
      </w:r>
      <w:r w:rsidR="00F50AE5" w:rsidRPr="000844FE">
        <w:rPr>
          <w:b w:val="0"/>
        </w:rPr>
        <w:t xml:space="preserve"> </w:t>
      </w:r>
      <w:r w:rsidRPr="000844FE">
        <w:rPr>
          <w:b w:val="0"/>
        </w:rPr>
        <w:t>services</w:t>
      </w:r>
      <w:r w:rsidR="00F50AE5" w:rsidRPr="000844FE">
        <w:rPr>
          <w:b w:val="0"/>
        </w:rPr>
        <w:t>, namely physiotherapy, speech therapy, occupational therapy and psychotherapy/ counselling</w:t>
      </w:r>
      <w:r w:rsidR="00FB6D1D" w:rsidRPr="000844FE">
        <w:rPr>
          <w:b w:val="0"/>
        </w:rPr>
        <w:t xml:space="preserve"> in health units</w:t>
      </w:r>
      <w:r w:rsidR="00F50AE5" w:rsidRPr="000844FE">
        <w:rPr>
          <w:rStyle w:val="FootnoteReference"/>
          <w:b w:val="0"/>
          <w:sz w:val="24"/>
        </w:rPr>
        <w:footnoteReference w:id="14"/>
      </w:r>
      <w:r w:rsidRPr="000844FE">
        <w:rPr>
          <w:b w:val="0"/>
        </w:rPr>
        <w:t xml:space="preserve"> increased by 19</w:t>
      </w:r>
      <w:r w:rsidR="00D76AEC">
        <w:rPr>
          <w:b w:val="0"/>
        </w:rPr>
        <w:t xml:space="preserve"> </w:t>
      </w:r>
      <w:r w:rsidRPr="000844FE">
        <w:rPr>
          <w:b w:val="0"/>
        </w:rPr>
        <w:t>% since 2015</w:t>
      </w:r>
      <w:r w:rsidR="006B1C9E" w:rsidRPr="000844FE">
        <w:rPr>
          <w:b w:val="0"/>
        </w:rPr>
        <w:t xml:space="preserve">, reaching 405 </w:t>
      </w:r>
      <w:r w:rsidRPr="000844FE">
        <w:rPr>
          <w:b w:val="0"/>
        </w:rPr>
        <w:t>in 20</w:t>
      </w:r>
      <w:r w:rsidR="0009550A" w:rsidRPr="000844FE">
        <w:rPr>
          <w:b w:val="0"/>
        </w:rPr>
        <w:t>17, whereas fewer</w:t>
      </w:r>
      <w:r w:rsidR="002F6EAC" w:rsidRPr="000844FE">
        <w:rPr>
          <w:b w:val="0"/>
        </w:rPr>
        <w:t xml:space="preserve"> </w:t>
      </w:r>
      <w:r w:rsidR="006839F7" w:rsidRPr="000844FE">
        <w:rPr>
          <w:b w:val="0"/>
        </w:rPr>
        <w:t xml:space="preserve">people accessed </w:t>
      </w:r>
      <w:r w:rsidR="006839F7" w:rsidRPr="000844FE">
        <w:rPr>
          <w:b w:val="0"/>
          <w:i/>
        </w:rPr>
        <w:t xml:space="preserve">outpatient </w:t>
      </w:r>
      <w:r w:rsidRPr="000844FE">
        <w:rPr>
          <w:b w:val="0"/>
          <w:i/>
        </w:rPr>
        <w:t>rehabilitation</w:t>
      </w:r>
      <w:r w:rsidRPr="000844FE">
        <w:rPr>
          <w:b w:val="0"/>
        </w:rPr>
        <w:t xml:space="preserve"> services </w:t>
      </w:r>
      <w:r w:rsidR="00FB6D1D" w:rsidRPr="000844FE">
        <w:rPr>
          <w:b w:val="0"/>
        </w:rPr>
        <w:t xml:space="preserve">in health units </w:t>
      </w:r>
      <w:r w:rsidRPr="000844FE">
        <w:rPr>
          <w:b w:val="0"/>
        </w:rPr>
        <w:t>that year (99) noting a 13</w:t>
      </w:r>
      <w:r w:rsidR="00D76AEC">
        <w:rPr>
          <w:b w:val="0"/>
        </w:rPr>
        <w:t xml:space="preserve"> </w:t>
      </w:r>
      <w:r w:rsidRPr="000844FE">
        <w:rPr>
          <w:b w:val="0"/>
        </w:rPr>
        <w:t>% decrease from 2015</w:t>
      </w:r>
      <w:r w:rsidR="00D76AEC">
        <w:rPr>
          <w:b w:val="0"/>
        </w:rPr>
        <w:t>.</w:t>
      </w:r>
      <w:r w:rsidRPr="000844FE">
        <w:rPr>
          <w:rStyle w:val="FootnoteReference"/>
          <w:b w:val="0"/>
          <w:sz w:val="24"/>
        </w:rPr>
        <w:footnoteReference w:id="15"/>
      </w:r>
    </w:p>
    <w:p w14:paraId="19D18EB7" w14:textId="77777777" w:rsidR="00B9719A" w:rsidRPr="000844FE" w:rsidRDefault="00B9719A" w:rsidP="000844FE">
      <w:pPr>
        <w:pStyle w:val="Un-numberedsubheading"/>
        <w:spacing w:after="0"/>
        <w:rPr>
          <w:b w:val="0"/>
        </w:rPr>
      </w:pPr>
    </w:p>
    <w:p w14:paraId="30887641" w14:textId="3F24EC30" w:rsidR="00D06BB8" w:rsidRPr="000844FE" w:rsidRDefault="00B9719A" w:rsidP="000844FE">
      <w:pPr>
        <w:pStyle w:val="Un-numberedsubheading"/>
        <w:spacing w:after="0"/>
        <w:rPr>
          <w:b w:val="0"/>
        </w:rPr>
      </w:pPr>
      <w:r w:rsidRPr="000844FE">
        <w:rPr>
          <w:b w:val="0"/>
        </w:rPr>
        <w:t>Please note there is no historical data on the number of beneficiaries in community-based Supported Living Shelters, which were funded under the EUSIF 2007-2013</w:t>
      </w:r>
      <w:r w:rsidR="00D76AEC">
        <w:rPr>
          <w:b w:val="0"/>
        </w:rPr>
        <w:t>.</w:t>
      </w:r>
      <w:r w:rsidRPr="000844FE">
        <w:rPr>
          <w:rStyle w:val="FootnoteReference"/>
          <w:b w:val="0"/>
          <w:sz w:val="24"/>
        </w:rPr>
        <w:footnoteReference w:id="16"/>
      </w:r>
      <w:r w:rsidR="00D06BB8" w:rsidRPr="000844FE">
        <w:rPr>
          <w:b w:val="0"/>
        </w:rPr>
        <w:t xml:space="preserve"> </w:t>
      </w:r>
    </w:p>
    <w:p w14:paraId="4239B9DA" w14:textId="36907E16" w:rsidR="00ED6A9A" w:rsidRPr="000844FE" w:rsidRDefault="00ED6A9A" w:rsidP="000844FE">
      <w:pPr>
        <w:rPr>
          <w:rFonts w:cs="Arial"/>
          <w:szCs w:val="24"/>
        </w:rPr>
      </w:pPr>
    </w:p>
    <w:p w14:paraId="114024BA" w14:textId="118C1670" w:rsidR="008E4ACD" w:rsidRPr="000844FE" w:rsidRDefault="008E4ACD" w:rsidP="00112AE1">
      <w:pPr>
        <w:pStyle w:val="Heading2"/>
      </w:pPr>
      <w:bookmarkStart w:id="9" w:name="_Toc529874058"/>
      <w:bookmarkStart w:id="10" w:name="_Toc7608752"/>
      <w:r w:rsidRPr="000844FE">
        <w:t xml:space="preserve">Overall spending on institutional care versus </w:t>
      </w:r>
      <w:r w:rsidR="00A76625" w:rsidRPr="000844FE">
        <w:t xml:space="preserve">services for support </w:t>
      </w:r>
      <w:r w:rsidR="009B0AEB" w:rsidRPr="000844FE">
        <w:t>for living independently and being included in the community</w:t>
      </w:r>
      <w:r w:rsidR="00FA5813" w:rsidRPr="000844FE">
        <w:t>, including information about proportion/amount of funding provided from EU funds</w:t>
      </w:r>
      <w:bookmarkEnd w:id="9"/>
      <w:bookmarkEnd w:id="10"/>
    </w:p>
    <w:p w14:paraId="3FC061C7" w14:textId="77777777" w:rsidR="00622FC0" w:rsidRPr="000844FE" w:rsidRDefault="00622FC0" w:rsidP="000844FE">
      <w:pPr>
        <w:rPr>
          <w:rFonts w:cs="Arial"/>
          <w:szCs w:val="24"/>
        </w:rPr>
      </w:pPr>
    </w:p>
    <w:p w14:paraId="05051088" w14:textId="46457D4F" w:rsidR="00A1374D" w:rsidRPr="000844FE" w:rsidRDefault="008E4ACD" w:rsidP="00112AE1">
      <w:pPr>
        <w:pStyle w:val="Heading3"/>
      </w:pPr>
      <w:r w:rsidRPr="000844FE">
        <w:t>Current figures</w:t>
      </w:r>
    </w:p>
    <w:p w14:paraId="7967A71A" w14:textId="20DEC46A" w:rsidR="00451FE6" w:rsidRPr="00112AE1" w:rsidRDefault="003779BE" w:rsidP="000844FE">
      <w:pPr>
        <w:pStyle w:val="Un-numberedsubheading"/>
        <w:spacing w:after="0"/>
        <w:rPr>
          <w:rFonts w:eastAsia="Times New Roman"/>
          <w:b w:val="0"/>
          <w:bCs/>
          <w:lang w:eastAsia="en-GB"/>
        </w:rPr>
      </w:pPr>
      <w:r w:rsidRPr="000844FE">
        <w:rPr>
          <w:b w:val="0"/>
        </w:rPr>
        <w:lastRenderedPageBreak/>
        <w:t xml:space="preserve">Reviewing </w:t>
      </w:r>
      <w:r w:rsidRPr="00112AE1">
        <w:rPr>
          <w:b w:val="0"/>
          <w:lang w:val="en-US"/>
        </w:rPr>
        <w:t>national statistical data on Systems of Health Accounts (2016) it is important to note first that no data is reported under Long-term care (soc</w:t>
      </w:r>
      <w:r w:rsidR="009554B0" w:rsidRPr="00112AE1">
        <w:rPr>
          <w:b w:val="0"/>
          <w:lang w:val="en-US"/>
        </w:rPr>
        <w:t>ial) (HCR.1), which according to</w:t>
      </w:r>
      <w:r w:rsidRPr="00112AE1">
        <w:rPr>
          <w:b w:val="0"/>
          <w:lang w:val="en-US"/>
        </w:rPr>
        <w:t xml:space="preserve"> </w:t>
      </w:r>
      <w:r w:rsidR="00BD1D7A" w:rsidRPr="00112AE1">
        <w:rPr>
          <w:b w:val="0"/>
          <w:lang w:val="en-US"/>
        </w:rPr>
        <w:t>O</w:t>
      </w:r>
      <w:r w:rsidR="00D1518E" w:rsidRPr="00112AE1">
        <w:rPr>
          <w:b w:val="0"/>
          <w:lang w:val="en-US"/>
        </w:rPr>
        <w:t xml:space="preserve">ECD </w:t>
      </w:r>
      <w:r w:rsidRPr="00112AE1">
        <w:rPr>
          <w:b w:val="0"/>
          <w:lang w:val="en-US"/>
        </w:rPr>
        <w:t>guidance consists of “</w:t>
      </w:r>
      <w:r w:rsidRPr="00112AE1">
        <w:rPr>
          <w:b w:val="0"/>
          <w:i/>
          <w:lang w:val="en-US"/>
        </w:rPr>
        <w:t>Assistance services that enable a person to live independently. They relate to help with instrumental activities of daily living (IADL) such as shopping, laundry, cooking, performing housework, managing finances and using the telephone</w:t>
      </w:r>
      <w:r w:rsidR="00112AE1" w:rsidRPr="00112AE1">
        <w:rPr>
          <w:b w:val="0"/>
          <w:i/>
          <w:lang w:val="en-US"/>
        </w:rPr>
        <w:t>.”</w:t>
      </w:r>
      <w:r w:rsidRPr="00112AE1">
        <w:rPr>
          <w:rStyle w:val="FootnoteReference"/>
          <w:b w:val="0"/>
          <w:i/>
          <w:sz w:val="24"/>
          <w:lang w:val="en-US"/>
        </w:rPr>
        <w:footnoteReference w:id="17"/>
      </w:r>
      <w:r w:rsidR="00112AE1" w:rsidRPr="00112AE1">
        <w:rPr>
          <w:b w:val="0"/>
          <w:i/>
          <w:lang w:val="en-US"/>
        </w:rPr>
        <w:t xml:space="preserve"> </w:t>
      </w:r>
      <w:r w:rsidR="009A23D9" w:rsidRPr="00112AE1">
        <w:rPr>
          <w:b w:val="0"/>
          <w:lang w:val="en-US"/>
        </w:rPr>
        <w:t xml:space="preserve">Similarly, under code HC3 - </w:t>
      </w:r>
      <w:r w:rsidR="00AD4D3B" w:rsidRPr="00112AE1">
        <w:rPr>
          <w:b w:val="0"/>
          <w:lang w:val="en-US"/>
        </w:rPr>
        <w:t>Total long-term care (</w:t>
      </w:r>
      <w:r w:rsidR="009A23D9" w:rsidRPr="00112AE1">
        <w:rPr>
          <w:b w:val="0"/>
          <w:lang w:val="en-US"/>
        </w:rPr>
        <w:t>health)</w:t>
      </w:r>
      <w:r w:rsidR="00AD4D3B" w:rsidRPr="00112AE1">
        <w:rPr>
          <w:b w:val="0"/>
          <w:lang w:val="en-US"/>
        </w:rPr>
        <w:t xml:space="preserve"> </w:t>
      </w:r>
      <w:r w:rsidR="00A54143" w:rsidRPr="00112AE1">
        <w:rPr>
          <w:b w:val="0"/>
          <w:lang w:val="en-US"/>
        </w:rPr>
        <w:t>null (</w:t>
      </w:r>
      <w:r w:rsidR="00AD4D3B" w:rsidRPr="00112AE1">
        <w:rPr>
          <w:rFonts w:eastAsia="Times New Roman"/>
          <w:b w:val="0"/>
          <w:bCs/>
          <w:lang w:eastAsia="en-GB"/>
        </w:rPr>
        <w:t>0.00</w:t>
      </w:r>
      <w:r w:rsidR="00A54143" w:rsidRPr="00112AE1">
        <w:rPr>
          <w:rFonts w:eastAsia="Times New Roman"/>
          <w:b w:val="0"/>
          <w:bCs/>
          <w:lang w:eastAsia="en-GB"/>
        </w:rPr>
        <w:t>)</w:t>
      </w:r>
      <w:r w:rsidR="00AD4D3B" w:rsidRPr="00112AE1">
        <w:rPr>
          <w:rFonts w:eastAsia="Times New Roman"/>
          <w:b w:val="0"/>
          <w:bCs/>
          <w:lang w:eastAsia="en-GB"/>
        </w:rPr>
        <w:t xml:space="preserve"> is reported under outpatient long term care and day long-term care categories</w:t>
      </w:r>
      <w:r w:rsidR="009A23D9" w:rsidRPr="00112AE1">
        <w:rPr>
          <w:rFonts w:eastAsia="Times New Roman"/>
          <w:b w:val="0"/>
          <w:bCs/>
          <w:lang w:eastAsia="en-GB"/>
        </w:rPr>
        <w:t>.</w:t>
      </w:r>
      <w:r w:rsidR="00D57382" w:rsidRPr="00112AE1">
        <w:rPr>
          <w:rFonts w:eastAsia="Times New Roman"/>
          <w:b w:val="0"/>
          <w:bCs/>
          <w:lang w:eastAsia="en-GB"/>
        </w:rPr>
        <w:t xml:space="preserve"> </w:t>
      </w:r>
      <w:r w:rsidR="00525413" w:rsidRPr="00112AE1">
        <w:rPr>
          <w:rFonts w:eastAsia="Times New Roman"/>
          <w:b w:val="0"/>
          <w:bCs/>
          <w:lang w:eastAsia="en-GB"/>
        </w:rPr>
        <w:t xml:space="preserve">Rather, data is reported under inpatient versus home based health care, where spending is calculated at </w:t>
      </w:r>
      <w:r w:rsidR="00112AE1" w:rsidRPr="00112AE1">
        <w:rPr>
          <w:rFonts w:eastAsia="Times New Roman"/>
          <w:b w:val="0"/>
          <w:bCs/>
          <w:lang w:eastAsia="en-GB"/>
        </w:rPr>
        <w:t xml:space="preserve">EUR </w:t>
      </w:r>
      <w:r w:rsidR="00525413" w:rsidRPr="00112AE1">
        <w:rPr>
          <w:rFonts w:eastAsia="Times New Roman"/>
          <w:b w:val="0"/>
          <w:bCs/>
          <w:lang w:eastAsia="en-GB"/>
        </w:rPr>
        <w:t>102.71</w:t>
      </w:r>
      <w:r w:rsidR="006B1C9E" w:rsidRPr="00112AE1">
        <w:rPr>
          <w:rFonts w:eastAsia="Times New Roman"/>
          <w:b w:val="0"/>
          <w:bCs/>
          <w:lang w:eastAsia="en-GB"/>
        </w:rPr>
        <w:t xml:space="preserve"> million </w:t>
      </w:r>
      <w:r w:rsidR="00525413" w:rsidRPr="00112AE1">
        <w:rPr>
          <w:rFonts w:eastAsia="Times New Roman"/>
          <w:b w:val="0"/>
          <w:bCs/>
          <w:lang w:eastAsia="en-GB"/>
        </w:rPr>
        <w:t xml:space="preserve">and </w:t>
      </w:r>
      <w:r w:rsidR="00112AE1" w:rsidRPr="00112AE1">
        <w:rPr>
          <w:rFonts w:eastAsia="Times New Roman"/>
          <w:b w:val="0"/>
          <w:bCs/>
          <w:lang w:eastAsia="en-GB"/>
        </w:rPr>
        <w:t xml:space="preserve">EUR </w:t>
      </w:r>
      <w:r w:rsidR="00525413" w:rsidRPr="00112AE1">
        <w:rPr>
          <w:rFonts w:eastAsia="Times New Roman"/>
          <w:b w:val="0"/>
          <w:bCs/>
          <w:lang w:eastAsia="en-GB"/>
        </w:rPr>
        <w:t>59.88</w:t>
      </w:r>
      <w:r w:rsidR="006B1C9E" w:rsidRPr="00112AE1">
        <w:rPr>
          <w:rFonts w:eastAsia="Times New Roman"/>
          <w:b w:val="0"/>
          <w:bCs/>
          <w:lang w:eastAsia="en-GB"/>
        </w:rPr>
        <w:t xml:space="preserve"> million</w:t>
      </w:r>
      <w:r w:rsidR="00525413" w:rsidRPr="00112AE1">
        <w:rPr>
          <w:rFonts w:eastAsia="Times New Roman"/>
          <w:b w:val="0"/>
          <w:bCs/>
          <w:lang w:eastAsia="en-GB"/>
        </w:rPr>
        <w:t xml:space="preserve"> respectively.</w:t>
      </w:r>
      <w:r w:rsidR="00112AE1" w:rsidRPr="00112AE1">
        <w:rPr>
          <w:rFonts w:eastAsia="Times New Roman"/>
          <w:b w:val="0"/>
          <w:bCs/>
          <w:lang w:eastAsia="en-GB"/>
        </w:rPr>
        <w:t xml:space="preserve"> </w:t>
      </w:r>
    </w:p>
    <w:p w14:paraId="49313139" w14:textId="77777777" w:rsidR="00112AE1" w:rsidRPr="00112AE1" w:rsidRDefault="00112AE1" w:rsidP="000844FE">
      <w:pPr>
        <w:pStyle w:val="Un-numberedsubheading"/>
        <w:spacing w:after="0"/>
        <w:rPr>
          <w:rFonts w:eastAsia="Times New Roman"/>
          <w:b w:val="0"/>
          <w:bCs/>
          <w:lang w:eastAsia="en-GB"/>
        </w:rPr>
      </w:pPr>
    </w:p>
    <w:p w14:paraId="79C77E9B" w14:textId="399B5D2D" w:rsidR="00645284" w:rsidRPr="000844FE" w:rsidRDefault="00ED14FA" w:rsidP="00112AE1">
      <w:pPr>
        <w:rPr>
          <w:lang w:eastAsia="en-GB"/>
        </w:rPr>
      </w:pPr>
      <w:r w:rsidRPr="000844FE">
        <w:rPr>
          <w:lang w:eastAsia="en-GB"/>
        </w:rPr>
        <w:t xml:space="preserve">Please also note null data is reported for </w:t>
      </w:r>
      <w:r w:rsidR="003A60FA" w:rsidRPr="000844FE">
        <w:rPr>
          <w:lang w:eastAsia="en-GB"/>
        </w:rPr>
        <w:t xml:space="preserve">the categories of </w:t>
      </w:r>
      <w:r w:rsidRPr="00112AE1">
        <w:t>accommodation</w:t>
      </w:r>
      <w:r w:rsidRPr="000844FE">
        <w:rPr>
          <w:lang w:eastAsia="en-GB"/>
        </w:rPr>
        <w:t xml:space="preserve"> and support w</w:t>
      </w:r>
      <w:r w:rsidR="003A60FA" w:rsidRPr="000844FE">
        <w:rPr>
          <w:lang w:eastAsia="en-GB"/>
        </w:rPr>
        <w:t xml:space="preserve">ith daily activities </w:t>
      </w:r>
      <w:r w:rsidRPr="000844FE">
        <w:rPr>
          <w:lang w:eastAsia="en-GB"/>
        </w:rPr>
        <w:t xml:space="preserve">under </w:t>
      </w:r>
      <w:r w:rsidR="003A60FA" w:rsidRPr="000844FE">
        <w:rPr>
          <w:lang w:eastAsia="en-GB"/>
        </w:rPr>
        <w:t xml:space="preserve">disability provisions </w:t>
      </w:r>
      <w:r w:rsidR="00192941" w:rsidRPr="000844FE">
        <w:rPr>
          <w:lang w:eastAsia="en-GB"/>
        </w:rPr>
        <w:t xml:space="preserve">in the framework </w:t>
      </w:r>
      <w:r w:rsidR="003A60FA" w:rsidRPr="000844FE">
        <w:rPr>
          <w:lang w:eastAsia="en-GB"/>
        </w:rPr>
        <w:t xml:space="preserve">of </w:t>
      </w:r>
      <w:r w:rsidRPr="000844FE">
        <w:t xml:space="preserve">the </w:t>
      </w:r>
      <w:r w:rsidR="0003197A" w:rsidRPr="000844FE">
        <w:t>European System of Integrated Social Protection Statistics-Core System</w:t>
      </w:r>
      <w:r w:rsidRPr="000844FE">
        <w:t xml:space="preserve"> Survey</w:t>
      </w:r>
      <w:r w:rsidR="00112AE1">
        <w:t>.</w:t>
      </w:r>
      <w:r w:rsidRPr="000844FE">
        <w:rPr>
          <w:rStyle w:val="FootnoteReference"/>
          <w:sz w:val="24"/>
        </w:rPr>
        <w:footnoteReference w:id="18"/>
      </w:r>
      <w:r w:rsidRPr="000844FE">
        <w:rPr>
          <w:lang w:eastAsia="en-GB"/>
        </w:rPr>
        <w:t xml:space="preserve"> </w:t>
      </w:r>
      <w:r w:rsidR="00D57382" w:rsidRPr="000844FE">
        <w:rPr>
          <w:lang w:eastAsia="en-GB"/>
        </w:rPr>
        <w:t xml:space="preserve">This gap in reporting is </w:t>
      </w:r>
      <w:r w:rsidR="00451FE6" w:rsidRPr="000844FE">
        <w:rPr>
          <w:lang w:eastAsia="en-GB"/>
        </w:rPr>
        <w:t xml:space="preserve">potentially </w:t>
      </w:r>
      <w:r w:rsidR="00D57382" w:rsidRPr="000844FE">
        <w:rPr>
          <w:lang w:eastAsia="en-GB"/>
        </w:rPr>
        <w:t xml:space="preserve">indicative of the </w:t>
      </w:r>
      <w:r w:rsidR="00A54143" w:rsidRPr="000844FE">
        <w:rPr>
          <w:lang w:eastAsia="en-GB"/>
        </w:rPr>
        <w:t xml:space="preserve">limited systematic monitoring and/or consolidation of data at a central level related to </w:t>
      </w:r>
      <w:r w:rsidR="00E7681F" w:rsidRPr="000844FE">
        <w:rPr>
          <w:lang w:eastAsia="en-GB"/>
        </w:rPr>
        <w:t>spending on institutional care</w:t>
      </w:r>
      <w:r w:rsidR="00FD0245" w:rsidRPr="000844FE">
        <w:rPr>
          <w:lang w:eastAsia="en-GB"/>
        </w:rPr>
        <w:t>, as much as the very limited alternatives for community-based shelter</w:t>
      </w:r>
      <w:r w:rsidR="00A54143" w:rsidRPr="000844FE">
        <w:rPr>
          <w:lang w:eastAsia="en-GB"/>
        </w:rPr>
        <w:t xml:space="preserve"> </w:t>
      </w:r>
      <w:r w:rsidR="004A084A" w:rsidRPr="000844FE">
        <w:rPr>
          <w:lang w:eastAsia="en-GB"/>
        </w:rPr>
        <w:t>(please see also sections 3.4 and 7)</w:t>
      </w:r>
      <w:r w:rsidR="00A54143" w:rsidRPr="000844FE">
        <w:rPr>
          <w:lang w:eastAsia="en-GB"/>
        </w:rPr>
        <w:t>.</w:t>
      </w:r>
      <w:r w:rsidR="004B0DA3" w:rsidRPr="000844FE">
        <w:rPr>
          <w:lang w:eastAsia="en-GB"/>
        </w:rPr>
        <w:t xml:space="preserve"> </w:t>
      </w:r>
    </w:p>
    <w:p w14:paraId="149BD67D" w14:textId="77777777" w:rsidR="005E4078" w:rsidRPr="000844FE" w:rsidRDefault="005E4078" w:rsidP="000844FE">
      <w:pPr>
        <w:pStyle w:val="Un-numberedsubheading"/>
        <w:spacing w:after="0"/>
        <w:rPr>
          <w:rFonts w:eastAsia="Times New Roman"/>
          <w:b w:val="0"/>
          <w:bCs/>
          <w:color w:val="000000"/>
          <w:lang w:eastAsia="en-GB"/>
        </w:rPr>
      </w:pPr>
    </w:p>
    <w:p w14:paraId="3A324A3C" w14:textId="4551ED5C" w:rsidR="00931FEC" w:rsidRPr="000844FE" w:rsidRDefault="00A1374D" w:rsidP="000844FE">
      <w:pPr>
        <w:pStyle w:val="Un-numberedsubheading"/>
        <w:spacing w:after="0"/>
        <w:rPr>
          <w:b w:val="0"/>
        </w:rPr>
      </w:pPr>
      <w:r w:rsidRPr="000844FE">
        <w:rPr>
          <w:rFonts w:eastAsia="Times New Roman"/>
          <w:b w:val="0"/>
          <w:bCs/>
          <w:color w:val="000000"/>
          <w:lang w:eastAsia="en-GB"/>
        </w:rPr>
        <w:t>Nevertheless, a recent</w:t>
      </w:r>
      <w:r w:rsidR="00645284" w:rsidRPr="000844FE">
        <w:rPr>
          <w:rFonts w:eastAsia="Times New Roman"/>
          <w:b w:val="0"/>
          <w:bCs/>
          <w:color w:val="000000"/>
          <w:lang w:eastAsia="en-GB"/>
        </w:rPr>
        <w:t xml:space="preserve"> cost analysis of </w:t>
      </w:r>
      <w:r w:rsidR="00AD4D3B" w:rsidRPr="000844FE">
        <w:rPr>
          <w:b w:val="0"/>
          <w:lang w:val="en-US"/>
        </w:rPr>
        <w:t>Supported Living Shelters</w:t>
      </w:r>
      <w:r w:rsidRPr="000844FE">
        <w:rPr>
          <w:b w:val="0"/>
          <w:lang w:val="en-US"/>
        </w:rPr>
        <w:t xml:space="preserve"> was recently contracted out by the Special Service for the Coordination and Monitoring of ESF funded actions (EYSEKT), </w:t>
      </w:r>
      <w:r w:rsidR="009C2F03" w:rsidRPr="000844FE">
        <w:rPr>
          <w:b w:val="0"/>
          <w:lang w:val="en-US"/>
        </w:rPr>
        <w:t>which overall suggests that for 31 units sampled</w:t>
      </w:r>
      <w:r w:rsidR="00E7681F" w:rsidRPr="000844FE">
        <w:rPr>
          <w:b w:val="0"/>
          <w:lang w:val="en-US"/>
        </w:rPr>
        <w:t xml:space="preserve"> (out of 42) the mean annual cost </w:t>
      </w:r>
      <w:r w:rsidRPr="000844FE">
        <w:rPr>
          <w:b w:val="0"/>
          <w:lang w:val="en-US"/>
        </w:rPr>
        <w:t xml:space="preserve">in 2016 </w:t>
      </w:r>
      <w:r w:rsidR="00E7681F" w:rsidRPr="000844FE">
        <w:rPr>
          <w:b w:val="0"/>
          <w:lang w:val="en-US"/>
        </w:rPr>
        <w:t>amounted</w:t>
      </w:r>
      <w:r w:rsidR="00C34FE2" w:rsidRPr="000844FE">
        <w:rPr>
          <w:b w:val="0"/>
          <w:lang w:val="en-US"/>
        </w:rPr>
        <w:t xml:space="preserve"> to </w:t>
      </w:r>
      <w:r w:rsidR="00112AE1">
        <w:rPr>
          <w:rFonts w:eastAsia="Times New Roman"/>
          <w:b w:val="0"/>
          <w:bCs/>
          <w:color w:val="000000"/>
          <w:lang w:eastAsia="en-GB"/>
        </w:rPr>
        <w:t>EUR</w:t>
      </w:r>
      <w:r w:rsidR="00112AE1" w:rsidRPr="000844FE">
        <w:rPr>
          <w:b w:val="0"/>
          <w:lang w:val="en-US"/>
        </w:rPr>
        <w:t xml:space="preserve"> </w:t>
      </w:r>
      <w:r w:rsidR="00C34FE2" w:rsidRPr="000844FE">
        <w:rPr>
          <w:b w:val="0"/>
          <w:lang w:val="en-US"/>
        </w:rPr>
        <w:t xml:space="preserve">157,058 </w:t>
      </w:r>
      <w:r w:rsidR="009C2F03" w:rsidRPr="000844FE">
        <w:rPr>
          <w:b w:val="0"/>
          <w:lang w:val="en-US"/>
        </w:rPr>
        <w:t xml:space="preserve">regardless of capacity </w:t>
      </w:r>
      <w:r w:rsidR="00AD4D3B" w:rsidRPr="000844FE">
        <w:rPr>
          <w:b w:val="0"/>
        </w:rPr>
        <w:t>(average capacity</w:t>
      </w:r>
      <w:r w:rsidR="0002470C" w:rsidRPr="000844FE">
        <w:rPr>
          <w:b w:val="0"/>
        </w:rPr>
        <w:t xml:space="preserve"> was equal to</w:t>
      </w:r>
      <w:r w:rsidR="00AD4D3B" w:rsidRPr="000844FE">
        <w:rPr>
          <w:b w:val="0"/>
        </w:rPr>
        <w:t xml:space="preserve"> 6.38 residents).</w:t>
      </w:r>
      <w:r w:rsidR="00F5284D" w:rsidRPr="000844FE">
        <w:rPr>
          <w:rStyle w:val="FootnoteReference"/>
          <w:b w:val="0"/>
          <w:sz w:val="24"/>
        </w:rPr>
        <w:footnoteReference w:id="19"/>
      </w:r>
      <w:r w:rsidR="00AD4D3B" w:rsidRPr="000844FE">
        <w:rPr>
          <w:b w:val="0"/>
        </w:rPr>
        <w:t xml:space="preserve"> </w:t>
      </w:r>
      <w:r w:rsidR="00D27379" w:rsidRPr="000844FE">
        <w:rPr>
          <w:b w:val="0"/>
        </w:rPr>
        <w:t>The researchers further note that</w:t>
      </w:r>
      <w:r w:rsidR="00AD4D3B" w:rsidRPr="000844FE">
        <w:rPr>
          <w:b w:val="0"/>
        </w:rPr>
        <w:t xml:space="preserve"> the year the data was collected expenses were </w:t>
      </w:r>
      <w:r w:rsidR="005D12E9" w:rsidRPr="000844FE">
        <w:rPr>
          <w:b w:val="0"/>
        </w:rPr>
        <w:t xml:space="preserve">reportedly </w:t>
      </w:r>
      <w:r w:rsidR="00AD4D3B" w:rsidRPr="000844FE">
        <w:rPr>
          <w:b w:val="0"/>
        </w:rPr>
        <w:t xml:space="preserve">reduced to minimum due to </w:t>
      </w:r>
      <w:r w:rsidR="00D27379" w:rsidRPr="000844FE">
        <w:rPr>
          <w:b w:val="0"/>
        </w:rPr>
        <w:t xml:space="preserve">the </w:t>
      </w:r>
      <w:r w:rsidR="00AD4D3B" w:rsidRPr="000844FE">
        <w:rPr>
          <w:b w:val="0"/>
        </w:rPr>
        <w:t>discontinuation of ESIF and delay in payments</w:t>
      </w:r>
      <w:r w:rsidR="0002470C" w:rsidRPr="000844FE">
        <w:rPr>
          <w:b w:val="0"/>
        </w:rPr>
        <w:t xml:space="preserve"> by the National </w:t>
      </w:r>
      <w:r w:rsidR="00766ADA" w:rsidRPr="000844FE">
        <w:rPr>
          <w:b w:val="0"/>
        </w:rPr>
        <w:t>Organisation of Health Provision</w:t>
      </w:r>
      <w:r w:rsidR="0002470C" w:rsidRPr="000844FE">
        <w:rPr>
          <w:b w:val="0"/>
        </w:rPr>
        <w:t xml:space="preserve"> (EOPPY)</w:t>
      </w:r>
      <w:r w:rsidR="00AD4D3B" w:rsidRPr="000844FE">
        <w:rPr>
          <w:b w:val="0"/>
        </w:rPr>
        <w:t>.</w:t>
      </w:r>
      <w:r w:rsidR="005D12E9" w:rsidRPr="000844FE">
        <w:rPr>
          <w:b w:val="0"/>
        </w:rPr>
        <w:t xml:space="preserve"> 68</w:t>
      </w:r>
      <w:r w:rsidR="00112AE1">
        <w:rPr>
          <w:b w:val="0"/>
        </w:rPr>
        <w:t xml:space="preserve"> </w:t>
      </w:r>
      <w:r w:rsidR="005D12E9" w:rsidRPr="000844FE">
        <w:rPr>
          <w:b w:val="0"/>
        </w:rPr>
        <w:t>% of expenses involved</w:t>
      </w:r>
      <w:r w:rsidR="00961E9C" w:rsidRPr="000844FE">
        <w:rPr>
          <w:b w:val="0"/>
        </w:rPr>
        <w:t xml:space="preserve"> staff costs, running costs </w:t>
      </w:r>
      <w:r w:rsidR="00766ADA" w:rsidRPr="000844FE">
        <w:rPr>
          <w:b w:val="0"/>
        </w:rPr>
        <w:t>we</w:t>
      </w:r>
      <w:r w:rsidR="005D12E9" w:rsidRPr="000844FE">
        <w:rPr>
          <w:b w:val="0"/>
        </w:rPr>
        <w:t>r</w:t>
      </w:r>
      <w:r w:rsidR="00A27735" w:rsidRPr="000844FE">
        <w:rPr>
          <w:b w:val="0"/>
        </w:rPr>
        <w:t xml:space="preserve">e estimated </w:t>
      </w:r>
      <w:r w:rsidR="00961E9C" w:rsidRPr="000844FE">
        <w:rPr>
          <w:b w:val="0"/>
        </w:rPr>
        <w:t>at 9.96</w:t>
      </w:r>
      <w:r w:rsidR="00112AE1">
        <w:rPr>
          <w:b w:val="0"/>
        </w:rPr>
        <w:t xml:space="preserve"> </w:t>
      </w:r>
      <w:r w:rsidR="00961E9C" w:rsidRPr="000844FE">
        <w:rPr>
          <w:b w:val="0"/>
        </w:rPr>
        <w:t>% and catering at 6</w:t>
      </w:r>
      <w:r w:rsidR="00112AE1">
        <w:rPr>
          <w:b w:val="0"/>
        </w:rPr>
        <w:t xml:space="preserve"> </w:t>
      </w:r>
      <w:r w:rsidR="00961E9C" w:rsidRPr="000844FE">
        <w:rPr>
          <w:b w:val="0"/>
        </w:rPr>
        <w:t>%</w:t>
      </w:r>
      <w:r w:rsidR="00112AE1">
        <w:rPr>
          <w:b w:val="0"/>
        </w:rPr>
        <w:t>.</w:t>
      </w:r>
      <w:r w:rsidR="00DB2F45" w:rsidRPr="000844FE">
        <w:rPr>
          <w:rStyle w:val="FootnoteReference"/>
          <w:b w:val="0"/>
          <w:sz w:val="24"/>
        </w:rPr>
        <w:footnoteReference w:id="20"/>
      </w:r>
      <w:r w:rsidR="00A27735" w:rsidRPr="000844FE">
        <w:rPr>
          <w:b w:val="0"/>
        </w:rPr>
        <w:t xml:space="preserve"> The av</w:t>
      </w:r>
      <w:r w:rsidR="00766ADA" w:rsidRPr="000844FE">
        <w:rPr>
          <w:b w:val="0"/>
        </w:rPr>
        <w:t>erage daily cost per resident was</w:t>
      </w:r>
      <w:r w:rsidR="00A27735" w:rsidRPr="000844FE">
        <w:rPr>
          <w:b w:val="0"/>
        </w:rPr>
        <w:t xml:space="preserve"> calculated at </w:t>
      </w:r>
      <w:r w:rsidR="00112AE1">
        <w:rPr>
          <w:rFonts w:eastAsia="Times New Roman"/>
          <w:b w:val="0"/>
          <w:bCs/>
          <w:color w:val="000000"/>
          <w:lang w:eastAsia="en-GB"/>
        </w:rPr>
        <w:t>EUR</w:t>
      </w:r>
      <w:r w:rsidR="00112AE1" w:rsidRPr="000844FE">
        <w:rPr>
          <w:b w:val="0"/>
        </w:rPr>
        <w:t xml:space="preserve"> </w:t>
      </w:r>
      <w:r w:rsidR="00A27735" w:rsidRPr="000844FE">
        <w:rPr>
          <w:b w:val="0"/>
        </w:rPr>
        <w:t>68.</w:t>
      </w:r>
      <w:r w:rsidR="00961E9C" w:rsidRPr="000844FE">
        <w:rPr>
          <w:b w:val="0"/>
        </w:rPr>
        <w:t>75</w:t>
      </w:r>
      <w:r w:rsidR="00112AE1">
        <w:rPr>
          <w:b w:val="0"/>
        </w:rPr>
        <w:t>.</w:t>
      </w:r>
      <w:r w:rsidR="006B1D3C" w:rsidRPr="000844FE">
        <w:rPr>
          <w:rStyle w:val="FootnoteReference"/>
          <w:b w:val="0"/>
          <w:sz w:val="24"/>
        </w:rPr>
        <w:footnoteReference w:id="21"/>
      </w:r>
    </w:p>
    <w:p w14:paraId="3E180883" w14:textId="77777777" w:rsidR="005E4078" w:rsidRPr="000844FE" w:rsidRDefault="005E4078" w:rsidP="000844FE">
      <w:pPr>
        <w:pStyle w:val="Un-numberedsubheading"/>
        <w:spacing w:after="0"/>
        <w:rPr>
          <w:b w:val="0"/>
        </w:rPr>
      </w:pPr>
    </w:p>
    <w:p w14:paraId="1EED719C" w14:textId="5F1F3A68" w:rsidR="007E647E" w:rsidRPr="0017733F" w:rsidRDefault="008E4ACD" w:rsidP="00112AE1">
      <w:pPr>
        <w:pStyle w:val="Heading3"/>
      </w:pPr>
      <w:r w:rsidRPr="0017733F">
        <w:t>Trend since 2013</w:t>
      </w:r>
    </w:p>
    <w:p w14:paraId="26B1EBF3" w14:textId="77777777" w:rsidR="00112AE1" w:rsidRPr="0017733F" w:rsidRDefault="00112AE1" w:rsidP="000844FE">
      <w:pPr>
        <w:rPr>
          <w:rFonts w:cs="Arial"/>
          <w:szCs w:val="24"/>
          <w:lang w:bidi="en-US"/>
        </w:rPr>
      </w:pPr>
    </w:p>
    <w:p w14:paraId="227A058C" w14:textId="7C71D317" w:rsidR="00D46C64" w:rsidRDefault="00891BD6" w:rsidP="00112AE1">
      <w:pPr>
        <w:rPr>
          <w:rFonts w:cs="Arial"/>
          <w:szCs w:val="24"/>
          <w:lang w:bidi="en-US"/>
        </w:rPr>
      </w:pPr>
      <w:r w:rsidRPr="0017733F">
        <w:rPr>
          <w:rFonts w:cs="Arial"/>
          <w:szCs w:val="24"/>
          <w:lang w:bidi="en-US"/>
        </w:rPr>
        <w:t xml:space="preserve">The table below shows </w:t>
      </w:r>
      <w:r w:rsidR="00D46C64" w:rsidRPr="0017733F">
        <w:rPr>
          <w:rFonts w:cs="Arial"/>
          <w:szCs w:val="24"/>
          <w:lang w:bidi="en-US"/>
        </w:rPr>
        <w:t xml:space="preserve">data on Systems of Health Accounts for Greece, </w:t>
      </w:r>
      <w:r w:rsidR="00F42D9F" w:rsidRPr="0017733F">
        <w:rPr>
          <w:rFonts w:cs="Arial"/>
          <w:szCs w:val="24"/>
          <w:lang w:bidi="en-US"/>
        </w:rPr>
        <w:t xml:space="preserve">since </w:t>
      </w:r>
      <w:r w:rsidR="00D46C64" w:rsidRPr="0017733F">
        <w:rPr>
          <w:rFonts w:cs="Arial"/>
          <w:szCs w:val="24"/>
          <w:lang w:bidi="en-US"/>
        </w:rPr>
        <w:t>2013.</w:t>
      </w:r>
      <w:r w:rsidR="00B635EA" w:rsidRPr="0017733F">
        <w:rPr>
          <w:rFonts w:cs="Arial"/>
          <w:szCs w:val="24"/>
          <w:lang w:bidi="en-US"/>
        </w:rPr>
        <w:t xml:space="preserve"> It is worth noting the increase of spending in inpatient lo</w:t>
      </w:r>
      <w:r w:rsidR="00931FEC" w:rsidRPr="0017733F">
        <w:rPr>
          <w:rFonts w:cs="Arial"/>
          <w:szCs w:val="24"/>
          <w:lang w:bidi="en-US"/>
        </w:rPr>
        <w:t xml:space="preserve">ng-term </w:t>
      </w:r>
      <w:r w:rsidR="000A4E8B" w:rsidRPr="0017733F">
        <w:rPr>
          <w:rFonts w:cs="Arial"/>
          <w:szCs w:val="24"/>
          <w:lang w:bidi="en-US"/>
        </w:rPr>
        <w:t xml:space="preserve">health </w:t>
      </w:r>
      <w:r w:rsidR="00931FEC" w:rsidRPr="0017733F">
        <w:rPr>
          <w:rFonts w:cs="Arial"/>
          <w:szCs w:val="24"/>
          <w:lang w:bidi="en-US"/>
        </w:rPr>
        <w:t xml:space="preserve">care since 2015, in comparison </w:t>
      </w:r>
      <w:r w:rsidR="00931FEC" w:rsidRPr="000844FE">
        <w:rPr>
          <w:rFonts w:cs="Arial"/>
          <w:szCs w:val="24"/>
          <w:lang w:bidi="en-US"/>
        </w:rPr>
        <w:t xml:space="preserve">with </w:t>
      </w:r>
      <w:r w:rsidRPr="000844FE">
        <w:rPr>
          <w:rFonts w:cs="Arial"/>
          <w:szCs w:val="24"/>
          <w:lang w:bidi="en-US"/>
        </w:rPr>
        <w:t xml:space="preserve">two discernible trends: </w:t>
      </w:r>
      <w:r w:rsidR="0057720D" w:rsidRPr="000844FE">
        <w:rPr>
          <w:rFonts w:cs="Arial"/>
          <w:szCs w:val="24"/>
          <w:lang w:bidi="en-US"/>
        </w:rPr>
        <w:t>(</w:t>
      </w:r>
      <w:proofErr w:type="spellStart"/>
      <w:r w:rsidR="0057720D" w:rsidRPr="000844FE">
        <w:rPr>
          <w:rFonts w:cs="Arial"/>
          <w:szCs w:val="24"/>
          <w:lang w:bidi="en-US"/>
        </w:rPr>
        <w:t>i</w:t>
      </w:r>
      <w:proofErr w:type="spellEnd"/>
      <w:r w:rsidR="0057720D" w:rsidRPr="000844FE">
        <w:rPr>
          <w:rFonts w:cs="Arial"/>
          <w:szCs w:val="24"/>
          <w:lang w:bidi="en-US"/>
        </w:rPr>
        <w:t xml:space="preserve">) </w:t>
      </w:r>
      <w:r w:rsidR="00931FEC" w:rsidRPr="000844FE">
        <w:rPr>
          <w:rFonts w:cs="Arial"/>
          <w:szCs w:val="24"/>
          <w:lang w:bidi="en-US"/>
        </w:rPr>
        <w:t xml:space="preserve">an </w:t>
      </w:r>
      <w:r w:rsidR="00B635EA" w:rsidRPr="000844FE">
        <w:rPr>
          <w:rFonts w:cs="Arial"/>
          <w:szCs w:val="24"/>
          <w:lang w:bidi="en-US"/>
        </w:rPr>
        <w:t>overall decrease in</w:t>
      </w:r>
      <w:r w:rsidR="000A4E8B" w:rsidRPr="000844FE">
        <w:rPr>
          <w:rFonts w:cs="Arial"/>
          <w:szCs w:val="24"/>
          <w:lang w:bidi="en-US"/>
        </w:rPr>
        <w:t xml:space="preserve"> home based long term care </w:t>
      </w:r>
      <w:r w:rsidR="00583498" w:rsidRPr="000844FE">
        <w:rPr>
          <w:rFonts w:cs="Arial"/>
          <w:szCs w:val="24"/>
          <w:lang w:bidi="en-US"/>
        </w:rPr>
        <w:t>from 2013 to</w:t>
      </w:r>
      <w:r w:rsidR="0057720D" w:rsidRPr="000844FE">
        <w:rPr>
          <w:rFonts w:cs="Arial"/>
          <w:szCs w:val="24"/>
          <w:lang w:bidi="en-US"/>
        </w:rPr>
        <w:t xml:space="preserve"> 2016, and (ii)</w:t>
      </w:r>
      <w:r w:rsidR="00B54229" w:rsidRPr="000844FE">
        <w:rPr>
          <w:rFonts w:cs="Arial"/>
          <w:szCs w:val="24"/>
          <w:lang w:bidi="en-US"/>
        </w:rPr>
        <w:t xml:space="preserve"> a significant reduction in </w:t>
      </w:r>
      <w:r w:rsidR="0057720D" w:rsidRPr="000844FE">
        <w:rPr>
          <w:rFonts w:cs="Arial"/>
          <w:szCs w:val="24"/>
          <w:lang w:bidi="en-US"/>
        </w:rPr>
        <w:t>disability community based rehabilitation services</w:t>
      </w:r>
      <w:r w:rsidR="00B54229" w:rsidRPr="000844FE">
        <w:rPr>
          <w:rFonts w:cs="Arial"/>
          <w:szCs w:val="24"/>
          <w:lang w:bidi="en-US"/>
        </w:rPr>
        <w:t xml:space="preserve"> </w:t>
      </w:r>
      <w:r w:rsidR="00583498" w:rsidRPr="000844FE">
        <w:rPr>
          <w:rFonts w:cs="Arial"/>
          <w:szCs w:val="24"/>
          <w:lang w:bidi="en-US"/>
        </w:rPr>
        <w:t xml:space="preserve">(by </w:t>
      </w:r>
      <w:r w:rsidR="00B54229" w:rsidRPr="000844FE">
        <w:rPr>
          <w:rFonts w:cs="Arial"/>
          <w:szCs w:val="24"/>
          <w:lang w:bidi="en-US"/>
        </w:rPr>
        <w:t>61.79</w:t>
      </w:r>
      <w:r w:rsidR="00112AE1">
        <w:rPr>
          <w:rFonts w:cs="Arial"/>
          <w:szCs w:val="24"/>
          <w:lang w:bidi="en-US"/>
        </w:rPr>
        <w:t xml:space="preserve"> </w:t>
      </w:r>
      <w:r w:rsidR="00B54229" w:rsidRPr="000844FE">
        <w:rPr>
          <w:rFonts w:cs="Arial"/>
          <w:szCs w:val="24"/>
          <w:lang w:bidi="en-US"/>
        </w:rPr>
        <w:t>%) over 2014/2015</w:t>
      </w:r>
      <w:r w:rsidR="00112AE1">
        <w:rPr>
          <w:rFonts w:cs="Arial"/>
          <w:szCs w:val="24"/>
          <w:lang w:bidi="en-US"/>
        </w:rPr>
        <w:t>,</w:t>
      </w:r>
      <w:r w:rsidR="00B54229" w:rsidRPr="000844FE">
        <w:rPr>
          <w:rStyle w:val="FootnoteReference"/>
          <w:rFonts w:cs="Arial"/>
          <w:sz w:val="24"/>
          <w:szCs w:val="24"/>
          <w:lang w:bidi="en-US"/>
        </w:rPr>
        <w:footnoteReference w:id="22"/>
      </w:r>
      <w:r w:rsidR="00583C6B" w:rsidRPr="000844FE">
        <w:rPr>
          <w:rFonts w:cs="Arial"/>
          <w:szCs w:val="24"/>
          <w:lang w:bidi="en-US"/>
        </w:rPr>
        <w:t xml:space="preserve"> which triangulates</w:t>
      </w:r>
      <w:r w:rsidR="005F7759" w:rsidRPr="000844FE">
        <w:rPr>
          <w:rFonts w:cs="Arial"/>
          <w:szCs w:val="24"/>
          <w:lang w:bidi="en-US"/>
        </w:rPr>
        <w:t xml:space="preserve"> with </w:t>
      </w:r>
      <w:r w:rsidR="00583C6B" w:rsidRPr="000844FE">
        <w:rPr>
          <w:rFonts w:cs="Arial"/>
          <w:szCs w:val="24"/>
          <w:lang w:bidi="en-US"/>
        </w:rPr>
        <w:t xml:space="preserve">the </w:t>
      </w:r>
      <w:r w:rsidR="00BA5487" w:rsidRPr="000844FE">
        <w:rPr>
          <w:rFonts w:cs="Arial"/>
          <w:szCs w:val="24"/>
          <w:lang w:bidi="en-US"/>
        </w:rPr>
        <w:t>13</w:t>
      </w:r>
      <w:r w:rsidR="00112AE1">
        <w:rPr>
          <w:rFonts w:cs="Arial"/>
          <w:szCs w:val="24"/>
          <w:lang w:bidi="en-US"/>
        </w:rPr>
        <w:t xml:space="preserve"> </w:t>
      </w:r>
      <w:r w:rsidR="005F7759" w:rsidRPr="000844FE">
        <w:rPr>
          <w:rFonts w:cs="Arial"/>
          <w:szCs w:val="24"/>
          <w:lang w:bidi="en-US"/>
        </w:rPr>
        <w:t xml:space="preserve">% decrease of use of those services </w:t>
      </w:r>
      <w:r w:rsidR="00BA5487" w:rsidRPr="000844FE">
        <w:rPr>
          <w:rFonts w:cs="Arial"/>
          <w:szCs w:val="24"/>
          <w:lang w:bidi="en-US"/>
        </w:rPr>
        <w:t xml:space="preserve">since 2015 </w:t>
      </w:r>
      <w:r w:rsidR="005F7759" w:rsidRPr="000844FE">
        <w:rPr>
          <w:rFonts w:cs="Arial"/>
          <w:szCs w:val="24"/>
          <w:lang w:bidi="en-US"/>
        </w:rPr>
        <w:t xml:space="preserve">as </w:t>
      </w:r>
      <w:r w:rsidR="00F472CE" w:rsidRPr="000844FE">
        <w:rPr>
          <w:rFonts w:cs="Arial"/>
          <w:szCs w:val="24"/>
          <w:lang w:bidi="en-US"/>
        </w:rPr>
        <w:t>noted in section 1.1</w:t>
      </w:r>
      <w:r w:rsidR="005F7759" w:rsidRPr="000844FE">
        <w:rPr>
          <w:rFonts w:cs="Arial"/>
          <w:szCs w:val="24"/>
          <w:lang w:bidi="en-US"/>
        </w:rPr>
        <w:t>.2.</w:t>
      </w:r>
    </w:p>
    <w:p w14:paraId="35BC1E0E" w14:textId="77777777" w:rsidR="00112AE1" w:rsidRPr="000844FE" w:rsidRDefault="00112AE1" w:rsidP="00112AE1">
      <w:pPr>
        <w:rPr>
          <w:rFonts w:cs="Arial"/>
          <w:szCs w:val="24"/>
          <w:lang w:bidi="en-US"/>
        </w:rPr>
      </w:pPr>
    </w:p>
    <w:p w14:paraId="21C799A5" w14:textId="77777777" w:rsidR="00F50E2F" w:rsidRDefault="00F50E2F" w:rsidP="00F50E2F">
      <w:pPr>
        <w:rPr>
          <w:lang w:bidi="en-US"/>
        </w:rPr>
      </w:pPr>
    </w:p>
    <w:p w14:paraId="7A7A2232" w14:textId="3A7EC855" w:rsidR="00F50E2F" w:rsidRDefault="00F50E2F" w:rsidP="00F50E2F">
      <w:pPr>
        <w:rPr>
          <w:lang w:bidi="en-US"/>
        </w:rPr>
      </w:pPr>
    </w:p>
    <w:p w14:paraId="2CD83B93" w14:textId="77777777" w:rsidR="00F50E2F" w:rsidRDefault="00F50E2F" w:rsidP="00F50E2F">
      <w:pPr>
        <w:rPr>
          <w:lang w:bidi="en-US"/>
        </w:rPr>
      </w:pPr>
    </w:p>
    <w:p w14:paraId="4B3B03B7" w14:textId="30CB7587" w:rsidR="007E647E" w:rsidRDefault="007E647E" w:rsidP="00112AE1">
      <w:pPr>
        <w:keepNext/>
        <w:keepLines/>
        <w:rPr>
          <w:rFonts w:cs="Arial"/>
          <w:i/>
          <w:szCs w:val="24"/>
          <w:lang w:bidi="en-US"/>
        </w:rPr>
      </w:pPr>
      <w:r w:rsidRPr="000844FE">
        <w:rPr>
          <w:rFonts w:cs="Arial"/>
          <w:i/>
          <w:szCs w:val="24"/>
          <w:lang w:bidi="en-US"/>
        </w:rPr>
        <w:lastRenderedPageBreak/>
        <w:t>Source: Na</w:t>
      </w:r>
      <w:r w:rsidR="00633247" w:rsidRPr="000844FE">
        <w:rPr>
          <w:rFonts w:cs="Arial"/>
          <w:i/>
          <w:szCs w:val="24"/>
          <w:lang w:bidi="en-US"/>
        </w:rPr>
        <w:t>tional Statistical Service (2016</w:t>
      </w:r>
      <w:r w:rsidRPr="000844FE">
        <w:rPr>
          <w:rFonts w:cs="Arial"/>
          <w:i/>
          <w:szCs w:val="24"/>
          <w:lang w:bidi="en-US"/>
        </w:rPr>
        <w:t>) SHA 2011</w:t>
      </w:r>
      <w:r w:rsidRPr="000844FE">
        <w:rPr>
          <w:rStyle w:val="FootnoteReference"/>
          <w:rFonts w:cs="Arial"/>
          <w:i/>
          <w:sz w:val="24"/>
          <w:szCs w:val="24"/>
          <w:lang w:bidi="en-US"/>
        </w:rPr>
        <w:footnoteReference w:id="23"/>
      </w:r>
    </w:p>
    <w:p w14:paraId="1F04769F" w14:textId="77777777" w:rsidR="00112AE1" w:rsidRPr="000844FE" w:rsidRDefault="00112AE1" w:rsidP="00112AE1">
      <w:pPr>
        <w:rPr>
          <w:lang w:bidi="en-US"/>
        </w:rPr>
      </w:pPr>
    </w:p>
    <w:tbl>
      <w:tblPr>
        <w:tblStyle w:val="PlainTable11"/>
        <w:tblW w:w="9365" w:type="dxa"/>
        <w:tblLook w:val="04A0" w:firstRow="1" w:lastRow="0" w:firstColumn="1" w:lastColumn="0" w:noHBand="0" w:noVBand="1"/>
      </w:tblPr>
      <w:tblGrid>
        <w:gridCol w:w="846"/>
        <w:gridCol w:w="2551"/>
        <w:gridCol w:w="3119"/>
        <w:gridCol w:w="2849"/>
      </w:tblGrid>
      <w:tr w:rsidR="007E647E" w:rsidRPr="000844FE" w14:paraId="6883DBE2" w14:textId="77777777" w:rsidTr="00112AE1">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846" w:type="dxa"/>
          </w:tcPr>
          <w:p w14:paraId="46EC7FBD" w14:textId="77777777" w:rsidR="007E647E" w:rsidRPr="000844FE" w:rsidRDefault="007E647E" w:rsidP="00112AE1">
            <w:pPr>
              <w:pStyle w:val="Un-numberedsubheading"/>
              <w:keepNext/>
              <w:keepLines/>
              <w:spacing w:after="0"/>
              <w:jc w:val="right"/>
              <w:rPr>
                <w:b/>
              </w:rPr>
            </w:pPr>
            <w:r w:rsidRPr="000844FE">
              <w:t>Year</w:t>
            </w:r>
          </w:p>
        </w:tc>
        <w:tc>
          <w:tcPr>
            <w:tcW w:w="2551" w:type="dxa"/>
          </w:tcPr>
          <w:p w14:paraId="79ED58C9" w14:textId="77777777" w:rsidR="007E647E" w:rsidRPr="000844FE" w:rsidRDefault="007E647E" w:rsidP="00112AE1">
            <w:pPr>
              <w:keepNext/>
              <w:keepLines/>
              <w:jc w:val="right"/>
              <w:cnfStyle w:val="100000000000" w:firstRow="1" w:lastRow="0" w:firstColumn="0" w:lastColumn="0" w:oddVBand="0" w:evenVBand="0" w:oddHBand="0" w:evenHBand="0" w:firstRowFirstColumn="0" w:firstRowLastColumn="0" w:lastRowFirstColumn="0" w:lastRowLastColumn="0"/>
              <w:rPr>
                <w:rFonts w:cs="Arial"/>
                <w:szCs w:val="24"/>
              </w:rPr>
            </w:pPr>
            <w:r w:rsidRPr="000844FE">
              <w:rPr>
                <w:rFonts w:cs="Arial"/>
                <w:szCs w:val="24"/>
              </w:rPr>
              <w:t>Total government expenditure</w:t>
            </w:r>
          </w:p>
        </w:tc>
        <w:tc>
          <w:tcPr>
            <w:tcW w:w="3119" w:type="dxa"/>
          </w:tcPr>
          <w:p w14:paraId="21742323" w14:textId="77777777" w:rsidR="007E647E" w:rsidRPr="000844FE" w:rsidRDefault="007E647E" w:rsidP="00112AE1">
            <w:pPr>
              <w:keepNext/>
              <w:keepLines/>
              <w:jc w:val="right"/>
              <w:cnfStyle w:val="100000000000" w:firstRow="1" w:lastRow="0" w:firstColumn="0" w:lastColumn="0" w:oddVBand="0" w:evenVBand="0" w:oddHBand="0" w:evenHBand="0" w:firstRowFirstColumn="0" w:firstRowLastColumn="0" w:lastRowFirstColumn="0" w:lastRowLastColumn="0"/>
              <w:rPr>
                <w:rFonts w:cs="Arial"/>
                <w:szCs w:val="24"/>
              </w:rPr>
            </w:pPr>
            <w:r w:rsidRPr="000844FE">
              <w:rPr>
                <w:rFonts w:cs="Arial"/>
                <w:szCs w:val="24"/>
              </w:rPr>
              <w:t>Inpatient long-term care (health)</w:t>
            </w:r>
          </w:p>
        </w:tc>
        <w:tc>
          <w:tcPr>
            <w:tcW w:w="2849" w:type="dxa"/>
          </w:tcPr>
          <w:p w14:paraId="3D6861FC" w14:textId="64C4B082" w:rsidR="007E647E" w:rsidRPr="000844FE" w:rsidRDefault="007E647E" w:rsidP="00112AE1">
            <w:pPr>
              <w:keepNext/>
              <w:keepLines/>
              <w:ind w:firstLineChars="100" w:firstLine="241"/>
              <w:jc w:val="right"/>
              <w:cnfStyle w:val="100000000000" w:firstRow="1" w:lastRow="0" w:firstColumn="0" w:lastColumn="0" w:oddVBand="0" w:evenVBand="0" w:oddHBand="0" w:evenHBand="0" w:firstRowFirstColumn="0" w:firstRowLastColumn="0" w:lastRowFirstColumn="0" w:lastRowLastColumn="0"/>
              <w:rPr>
                <w:rFonts w:cs="Arial"/>
                <w:szCs w:val="24"/>
              </w:rPr>
            </w:pPr>
            <w:r w:rsidRPr="000844FE">
              <w:rPr>
                <w:rFonts w:cs="Arial"/>
                <w:szCs w:val="24"/>
              </w:rPr>
              <w:t>Home-based long-term care (health)</w:t>
            </w:r>
          </w:p>
        </w:tc>
      </w:tr>
      <w:tr w:rsidR="007E647E" w:rsidRPr="000844FE" w14:paraId="39E798A5" w14:textId="77777777" w:rsidTr="00112AE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46" w:type="dxa"/>
          </w:tcPr>
          <w:p w14:paraId="2597570D" w14:textId="77777777" w:rsidR="007E647E" w:rsidRPr="000844FE" w:rsidRDefault="007E647E" w:rsidP="00112AE1">
            <w:pPr>
              <w:pStyle w:val="Un-numberedsubheading"/>
              <w:keepNext/>
              <w:keepLines/>
              <w:spacing w:after="0"/>
              <w:jc w:val="right"/>
              <w:rPr>
                <w:b/>
              </w:rPr>
            </w:pPr>
            <w:r w:rsidRPr="000844FE">
              <w:t>2013</w:t>
            </w:r>
          </w:p>
        </w:tc>
        <w:tc>
          <w:tcPr>
            <w:tcW w:w="2551" w:type="dxa"/>
          </w:tcPr>
          <w:p w14:paraId="48ED1B97" w14:textId="2EB245B4" w:rsidR="007E647E" w:rsidRPr="000844FE" w:rsidRDefault="007E647E" w:rsidP="00112AE1">
            <w:pPr>
              <w:keepNext/>
              <w:keepLines/>
              <w:jc w:val="right"/>
              <w:cnfStyle w:val="000000100000" w:firstRow="0" w:lastRow="0" w:firstColumn="0" w:lastColumn="0" w:oddVBand="0" w:evenVBand="0" w:oddHBand="1" w:evenHBand="0" w:firstRowFirstColumn="0" w:firstRowLastColumn="0" w:lastRowFirstColumn="0" w:lastRowLastColumn="0"/>
              <w:rPr>
                <w:b/>
              </w:rPr>
            </w:pPr>
            <w:r w:rsidRPr="000844FE">
              <w:rPr>
                <w:rFonts w:cs="Arial"/>
                <w:szCs w:val="24"/>
              </w:rPr>
              <w:t>124.51</w:t>
            </w:r>
          </w:p>
        </w:tc>
        <w:tc>
          <w:tcPr>
            <w:tcW w:w="3119" w:type="dxa"/>
          </w:tcPr>
          <w:p w14:paraId="2E1510CA" w14:textId="3C38B651" w:rsidR="007E647E" w:rsidRPr="000844FE" w:rsidRDefault="007E647E" w:rsidP="00112AE1">
            <w:pPr>
              <w:keepNext/>
              <w:keepLines/>
              <w:jc w:val="right"/>
              <w:cnfStyle w:val="000000100000" w:firstRow="0" w:lastRow="0" w:firstColumn="0" w:lastColumn="0" w:oddVBand="0" w:evenVBand="0" w:oddHBand="1" w:evenHBand="0" w:firstRowFirstColumn="0" w:firstRowLastColumn="0" w:lastRowFirstColumn="0" w:lastRowLastColumn="0"/>
              <w:rPr>
                <w:rFonts w:cs="Arial"/>
                <w:szCs w:val="24"/>
              </w:rPr>
            </w:pPr>
            <w:r w:rsidRPr="000844FE">
              <w:rPr>
                <w:rFonts w:cs="Arial"/>
                <w:szCs w:val="24"/>
              </w:rPr>
              <w:t>42.15</w:t>
            </w:r>
          </w:p>
        </w:tc>
        <w:tc>
          <w:tcPr>
            <w:tcW w:w="2849" w:type="dxa"/>
          </w:tcPr>
          <w:p w14:paraId="06DF26FE" w14:textId="41733EB2" w:rsidR="007E647E" w:rsidRPr="000844FE" w:rsidRDefault="007E647E" w:rsidP="00112AE1">
            <w:pPr>
              <w:keepNext/>
              <w:keepLines/>
              <w:jc w:val="right"/>
              <w:cnfStyle w:val="000000100000" w:firstRow="0" w:lastRow="0" w:firstColumn="0" w:lastColumn="0" w:oddVBand="0" w:evenVBand="0" w:oddHBand="1" w:evenHBand="0" w:firstRowFirstColumn="0" w:firstRowLastColumn="0" w:lastRowFirstColumn="0" w:lastRowLastColumn="0"/>
              <w:rPr>
                <w:rFonts w:cs="Arial"/>
                <w:szCs w:val="24"/>
              </w:rPr>
            </w:pPr>
            <w:r w:rsidRPr="000844FE">
              <w:rPr>
                <w:rFonts w:cs="Arial"/>
                <w:szCs w:val="24"/>
              </w:rPr>
              <w:t>82.36</w:t>
            </w:r>
          </w:p>
        </w:tc>
      </w:tr>
      <w:tr w:rsidR="007E647E" w:rsidRPr="000844FE" w14:paraId="68CA0393" w14:textId="77777777" w:rsidTr="00112AE1">
        <w:trPr>
          <w:trHeight w:val="444"/>
        </w:trPr>
        <w:tc>
          <w:tcPr>
            <w:cnfStyle w:val="001000000000" w:firstRow="0" w:lastRow="0" w:firstColumn="1" w:lastColumn="0" w:oddVBand="0" w:evenVBand="0" w:oddHBand="0" w:evenHBand="0" w:firstRowFirstColumn="0" w:firstRowLastColumn="0" w:lastRowFirstColumn="0" w:lastRowLastColumn="0"/>
            <w:tcW w:w="846" w:type="dxa"/>
          </w:tcPr>
          <w:p w14:paraId="04D7B887" w14:textId="77777777" w:rsidR="007E647E" w:rsidRPr="000844FE" w:rsidRDefault="007E647E" w:rsidP="00112AE1">
            <w:pPr>
              <w:pStyle w:val="Un-numberedsubheading"/>
              <w:keepNext/>
              <w:keepLines/>
              <w:spacing w:after="0"/>
              <w:jc w:val="right"/>
              <w:rPr>
                <w:b/>
              </w:rPr>
            </w:pPr>
            <w:r w:rsidRPr="000844FE">
              <w:t>2014</w:t>
            </w:r>
          </w:p>
        </w:tc>
        <w:tc>
          <w:tcPr>
            <w:tcW w:w="2551" w:type="dxa"/>
          </w:tcPr>
          <w:p w14:paraId="323DE701" w14:textId="0828D58C" w:rsidR="007E647E" w:rsidRPr="000844FE" w:rsidRDefault="007E647E" w:rsidP="00112AE1">
            <w:pPr>
              <w:keepNext/>
              <w:keepLines/>
              <w:jc w:val="right"/>
              <w:cnfStyle w:val="000000000000" w:firstRow="0" w:lastRow="0" w:firstColumn="0" w:lastColumn="0" w:oddVBand="0" w:evenVBand="0" w:oddHBand="0" w:evenHBand="0" w:firstRowFirstColumn="0" w:firstRowLastColumn="0" w:lastRowFirstColumn="0" w:lastRowLastColumn="0"/>
              <w:rPr>
                <w:b/>
              </w:rPr>
            </w:pPr>
            <w:r w:rsidRPr="000844FE">
              <w:rPr>
                <w:rFonts w:cs="Arial"/>
                <w:szCs w:val="24"/>
              </w:rPr>
              <w:t>83.45</w:t>
            </w:r>
          </w:p>
        </w:tc>
        <w:tc>
          <w:tcPr>
            <w:tcW w:w="3119" w:type="dxa"/>
          </w:tcPr>
          <w:p w14:paraId="5D06EF25" w14:textId="66B72527" w:rsidR="007E647E" w:rsidRPr="000844FE" w:rsidRDefault="007E647E" w:rsidP="00112AE1">
            <w:pPr>
              <w:keepNext/>
              <w:keepLines/>
              <w:jc w:val="right"/>
              <w:cnfStyle w:val="000000000000" w:firstRow="0" w:lastRow="0" w:firstColumn="0" w:lastColumn="0" w:oddVBand="0" w:evenVBand="0" w:oddHBand="0" w:evenHBand="0" w:firstRowFirstColumn="0" w:firstRowLastColumn="0" w:lastRowFirstColumn="0" w:lastRowLastColumn="0"/>
              <w:rPr>
                <w:b/>
              </w:rPr>
            </w:pPr>
            <w:r w:rsidRPr="000844FE">
              <w:rPr>
                <w:rFonts w:cs="Arial"/>
                <w:szCs w:val="24"/>
              </w:rPr>
              <w:t>33.24</w:t>
            </w:r>
          </w:p>
        </w:tc>
        <w:tc>
          <w:tcPr>
            <w:tcW w:w="2849" w:type="dxa"/>
          </w:tcPr>
          <w:p w14:paraId="298B8715" w14:textId="7D38F9EB" w:rsidR="007E647E" w:rsidRPr="000844FE" w:rsidRDefault="007E647E" w:rsidP="00112AE1">
            <w:pPr>
              <w:keepNext/>
              <w:keepLines/>
              <w:jc w:val="right"/>
              <w:cnfStyle w:val="000000000000" w:firstRow="0" w:lastRow="0" w:firstColumn="0" w:lastColumn="0" w:oddVBand="0" w:evenVBand="0" w:oddHBand="0" w:evenHBand="0" w:firstRowFirstColumn="0" w:firstRowLastColumn="0" w:lastRowFirstColumn="0" w:lastRowLastColumn="0"/>
              <w:rPr>
                <w:b/>
              </w:rPr>
            </w:pPr>
            <w:r w:rsidRPr="000844FE">
              <w:rPr>
                <w:rFonts w:cs="Arial"/>
                <w:szCs w:val="24"/>
              </w:rPr>
              <w:t>50.21</w:t>
            </w:r>
          </w:p>
        </w:tc>
      </w:tr>
      <w:tr w:rsidR="007E647E" w:rsidRPr="000844FE" w14:paraId="3846047E" w14:textId="77777777" w:rsidTr="00112AE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46" w:type="dxa"/>
          </w:tcPr>
          <w:p w14:paraId="28F7FB2A" w14:textId="77777777" w:rsidR="007E647E" w:rsidRPr="000844FE" w:rsidRDefault="007E647E" w:rsidP="00112AE1">
            <w:pPr>
              <w:pStyle w:val="Un-numberedsubheading"/>
              <w:keepNext/>
              <w:keepLines/>
              <w:spacing w:after="0"/>
              <w:jc w:val="right"/>
              <w:rPr>
                <w:b/>
              </w:rPr>
            </w:pPr>
            <w:r w:rsidRPr="000844FE">
              <w:t>2015</w:t>
            </w:r>
          </w:p>
        </w:tc>
        <w:tc>
          <w:tcPr>
            <w:tcW w:w="2551" w:type="dxa"/>
          </w:tcPr>
          <w:p w14:paraId="4BC85D4A" w14:textId="1FA159F7" w:rsidR="007E647E" w:rsidRPr="000844FE" w:rsidRDefault="007E647E" w:rsidP="00112AE1">
            <w:pPr>
              <w:keepNext/>
              <w:keepLines/>
              <w:jc w:val="right"/>
              <w:cnfStyle w:val="000000100000" w:firstRow="0" w:lastRow="0" w:firstColumn="0" w:lastColumn="0" w:oddVBand="0" w:evenVBand="0" w:oddHBand="1" w:evenHBand="0" w:firstRowFirstColumn="0" w:firstRowLastColumn="0" w:lastRowFirstColumn="0" w:lastRowLastColumn="0"/>
              <w:rPr>
                <w:b/>
              </w:rPr>
            </w:pPr>
            <w:r w:rsidRPr="000844FE">
              <w:rPr>
                <w:rFonts w:cs="Arial"/>
                <w:szCs w:val="24"/>
              </w:rPr>
              <w:t>177.46</w:t>
            </w:r>
          </w:p>
        </w:tc>
        <w:tc>
          <w:tcPr>
            <w:tcW w:w="3119" w:type="dxa"/>
          </w:tcPr>
          <w:p w14:paraId="50E7BAB5" w14:textId="1B19404E" w:rsidR="007E647E" w:rsidRPr="000844FE" w:rsidRDefault="007E647E" w:rsidP="00112AE1">
            <w:pPr>
              <w:keepNext/>
              <w:keepLines/>
              <w:jc w:val="right"/>
              <w:cnfStyle w:val="000000100000" w:firstRow="0" w:lastRow="0" w:firstColumn="0" w:lastColumn="0" w:oddVBand="0" w:evenVBand="0" w:oddHBand="1" w:evenHBand="0" w:firstRowFirstColumn="0" w:firstRowLastColumn="0" w:lastRowFirstColumn="0" w:lastRowLastColumn="0"/>
              <w:rPr>
                <w:b/>
              </w:rPr>
            </w:pPr>
            <w:r w:rsidRPr="000844FE">
              <w:rPr>
                <w:rFonts w:cs="Arial"/>
                <w:szCs w:val="24"/>
              </w:rPr>
              <w:t>114.56</w:t>
            </w:r>
          </w:p>
        </w:tc>
        <w:tc>
          <w:tcPr>
            <w:tcW w:w="2849" w:type="dxa"/>
          </w:tcPr>
          <w:p w14:paraId="461BEC53" w14:textId="0DD8A29D" w:rsidR="007E647E" w:rsidRPr="000844FE" w:rsidRDefault="007E647E" w:rsidP="00112AE1">
            <w:pPr>
              <w:keepNext/>
              <w:keepLines/>
              <w:jc w:val="right"/>
              <w:cnfStyle w:val="000000100000" w:firstRow="0" w:lastRow="0" w:firstColumn="0" w:lastColumn="0" w:oddVBand="0" w:evenVBand="0" w:oddHBand="1" w:evenHBand="0" w:firstRowFirstColumn="0" w:firstRowLastColumn="0" w:lastRowFirstColumn="0" w:lastRowLastColumn="0"/>
              <w:rPr>
                <w:b/>
              </w:rPr>
            </w:pPr>
            <w:r w:rsidRPr="000844FE">
              <w:rPr>
                <w:rFonts w:cs="Arial"/>
                <w:szCs w:val="24"/>
              </w:rPr>
              <w:t>62.90</w:t>
            </w:r>
          </w:p>
        </w:tc>
      </w:tr>
      <w:tr w:rsidR="007E647E" w:rsidRPr="000844FE" w14:paraId="1F952832" w14:textId="77777777" w:rsidTr="00112AE1">
        <w:trPr>
          <w:trHeight w:val="437"/>
        </w:trPr>
        <w:tc>
          <w:tcPr>
            <w:cnfStyle w:val="001000000000" w:firstRow="0" w:lastRow="0" w:firstColumn="1" w:lastColumn="0" w:oddVBand="0" w:evenVBand="0" w:oddHBand="0" w:evenHBand="0" w:firstRowFirstColumn="0" w:firstRowLastColumn="0" w:lastRowFirstColumn="0" w:lastRowLastColumn="0"/>
            <w:tcW w:w="846" w:type="dxa"/>
          </w:tcPr>
          <w:p w14:paraId="71273587" w14:textId="77777777" w:rsidR="007E647E" w:rsidRPr="000844FE" w:rsidRDefault="007E647E" w:rsidP="00112AE1">
            <w:pPr>
              <w:pStyle w:val="Un-numberedsubheading"/>
              <w:keepNext/>
              <w:keepLines/>
              <w:spacing w:after="0"/>
              <w:jc w:val="right"/>
              <w:rPr>
                <w:b/>
              </w:rPr>
            </w:pPr>
            <w:r w:rsidRPr="000844FE">
              <w:t>2016</w:t>
            </w:r>
          </w:p>
        </w:tc>
        <w:tc>
          <w:tcPr>
            <w:tcW w:w="2551" w:type="dxa"/>
          </w:tcPr>
          <w:p w14:paraId="3A9D8595" w14:textId="0C0523BD" w:rsidR="007E647E" w:rsidRPr="000844FE" w:rsidRDefault="007E647E" w:rsidP="00112AE1">
            <w:pPr>
              <w:keepNext/>
              <w:keepLines/>
              <w:jc w:val="right"/>
              <w:cnfStyle w:val="000000000000" w:firstRow="0" w:lastRow="0" w:firstColumn="0" w:lastColumn="0" w:oddVBand="0" w:evenVBand="0" w:oddHBand="0" w:evenHBand="0" w:firstRowFirstColumn="0" w:firstRowLastColumn="0" w:lastRowFirstColumn="0" w:lastRowLastColumn="0"/>
              <w:rPr>
                <w:b/>
              </w:rPr>
            </w:pPr>
            <w:r w:rsidRPr="000844FE">
              <w:rPr>
                <w:rFonts w:cs="Arial"/>
                <w:szCs w:val="24"/>
              </w:rPr>
              <w:t>162.59</w:t>
            </w:r>
          </w:p>
        </w:tc>
        <w:tc>
          <w:tcPr>
            <w:tcW w:w="3119" w:type="dxa"/>
          </w:tcPr>
          <w:p w14:paraId="398338EA" w14:textId="32C4C2D5" w:rsidR="007E647E" w:rsidRPr="000844FE" w:rsidRDefault="007E647E" w:rsidP="00112AE1">
            <w:pPr>
              <w:keepNext/>
              <w:keepLines/>
              <w:jc w:val="right"/>
              <w:cnfStyle w:val="000000000000" w:firstRow="0" w:lastRow="0" w:firstColumn="0" w:lastColumn="0" w:oddVBand="0" w:evenVBand="0" w:oddHBand="0" w:evenHBand="0" w:firstRowFirstColumn="0" w:firstRowLastColumn="0" w:lastRowFirstColumn="0" w:lastRowLastColumn="0"/>
              <w:rPr>
                <w:b/>
              </w:rPr>
            </w:pPr>
            <w:r w:rsidRPr="000844FE">
              <w:rPr>
                <w:rFonts w:cs="Arial"/>
                <w:szCs w:val="24"/>
              </w:rPr>
              <w:t>102.71</w:t>
            </w:r>
          </w:p>
        </w:tc>
        <w:tc>
          <w:tcPr>
            <w:tcW w:w="2849" w:type="dxa"/>
          </w:tcPr>
          <w:p w14:paraId="69EF6225" w14:textId="4AE3066D" w:rsidR="007E647E" w:rsidRPr="000844FE" w:rsidRDefault="007E647E" w:rsidP="00112AE1">
            <w:pPr>
              <w:keepNext/>
              <w:keepLines/>
              <w:jc w:val="right"/>
              <w:cnfStyle w:val="000000000000" w:firstRow="0" w:lastRow="0" w:firstColumn="0" w:lastColumn="0" w:oddVBand="0" w:evenVBand="0" w:oddHBand="0" w:evenHBand="0" w:firstRowFirstColumn="0" w:firstRowLastColumn="0" w:lastRowFirstColumn="0" w:lastRowLastColumn="0"/>
              <w:rPr>
                <w:b/>
              </w:rPr>
            </w:pPr>
            <w:r w:rsidRPr="000844FE">
              <w:rPr>
                <w:rFonts w:cs="Arial"/>
                <w:szCs w:val="24"/>
              </w:rPr>
              <w:t>59.88</w:t>
            </w:r>
          </w:p>
        </w:tc>
      </w:tr>
    </w:tbl>
    <w:p w14:paraId="42474004" w14:textId="20741416" w:rsidR="008E4ACD" w:rsidRPr="000844FE" w:rsidRDefault="008E4ACD" w:rsidP="00112AE1"/>
    <w:p w14:paraId="2531EAE1" w14:textId="49B884FC" w:rsidR="008E4ACD" w:rsidRPr="000844FE" w:rsidRDefault="00ED6A9A" w:rsidP="00112AE1">
      <w:pPr>
        <w:pStyle w:val="Heading1"/>
      </w:pPr>
      <w:bookmarkStart w:id="11" w:name="_Toc529874059"/>
      <w:bookmarkStart w:id="12" w:name="_Toc7608753"/>
      <w:r w:rsidRPr="000844FE">
        <w:t xml:space="preserve">Government </w:t>
      </w:r>
      <w:r w:rsidR="00AB2CB2" w:rsidRPr="000844FE">
        <w:t>c</w:t>
      </w:r>
      <w:r w:rsidR="008E4ACD" w:rsidRPr="000844FE">
        <w:t xml:space="preserve">ommitments on </w:t>
      </w:r>
      <w:r w:rsidR="009B0AEB" w:rsidRPr="000844FE">
        <w:t xml:space="preserve">living independently and being included in the community including </w:t>
      </w:r>
      <w:r w:rsidR="008E4ACD" w:rsidRPr="000844FE">
        <w:t xml:space="preserve">the transition from institutional care to </w:t>
      </w:r>
      <w:r w:rsidR="00A75929" w:rsidRPr="000844FE">
        <w:t>community-based</w:t>
      </w:r>
      <w:r w:rsidR="008E4ACD" w:rsidRPr="000844FE">
        <w:t xml:space="preserve"> living</w:t>
      </w:r>
      <w:bookmarkEnd w:id="11"/>
      <w:bookmarkEnd w:id="12"/>
      <w:r w:rsidR="008E4ACD" w:rsidRPr="000844FE">
        <w:t xml:space="preserve"> </w:t>
      </w:r>
    </w:p>
    <w:p w14:paraId="46D29522" w14:textId="77777777" w:rsidR="00744850" w:rsidRPr="000844FE" w:rsidRDefault="00744850" w:rsidP="000844FE">
      <w:pPr>
        <w:rPr>
          <w:rFonts w:cs="Arial"/>
          <w:szCs w:val="24"/>
          <w:lang w:bidi="en-US"/>
        </w:rPr>
      </w:pPr>
    </w:p>
    <w:p w14:paraId="7FB49E9F" w14:textId="1F2468BB" w:rsidR="008E4ACD" w:rsidRPr="000844FE" w:rsidRDefault="008E4ACD" w:rsidP="00112AE1">
      <w:pPr>
        <w:pStyle w:val="Heading2"/>
      </w:pPr>
      <w:bookmarkStart w:id="13" w:name="_Toc529874060"/>
      <w:bookmarkStart w:id="14" w:name="_Toc7608754"/>
      <w:r w:rsidRPr="000844FE">
        <w:t xml:space="preserve">In which document(s) are </w:t>
      </w:r>
      <w:r w:rsidR="00ED6A9A" w:rsidRPr="000844FE">
        <w:t xml:space="preserve">government </w:t>
      </w:r>
      <w:r w:rsidRPr="000844FE">
        <w:t xml:space="preserve">commitments and plans concerning </w:t>
      </w:r>
      <w:r w:rsidR="002A75B1" w:rsidRPr="000844FE">
        <w:t>support for independent living in the community</w:t>
      </w:r>
      <w:r w:rsidR="0041392D" w:rsidRPr="000844FE">
        <w:t xml:space="preserve"> set out</w:t>
      </w:r>
      <w:r w:rsidR="000356A9" w:rsidRPr="000844FE">
        <w:t>?</w:t>
      </w:r>
      <w:bookmarkEnd w:id="13"/>
      <w:bookmarkEnd w:id="14"/>
    </w:p>
    <w:p w14:paraId="52D2A36D" w14:textId="4A1E12EF" w:rsidR="00F6232A" w:rsidRPr="000844FE" w:rsidRDefault="00F6232A" w:rsidP="000844FE">
      <w:pPr>
        <w:rPr>
          <w:rFonts w:cs="Arial"/>
          <w:szCs w:val="24"/>
          <w:lang w:bidi="en-US"/>
        </w:rPr>
      </w:pPr>
    </w:p>
    <w:p w14:paraId="7EC93183" w14:textId="4DAC0AA0" w:rsidR="00F6232A" w:rsidRPr="000844FE" w:rsidRDefault="0086154B" w:rsidP="000844FE">
      <w:pPr>
        <w:rPr>
          <w:rFonts w:cs="Arial"/>
          <w:szCs w:val="24"/>
          <w:lang w:bidi="en-US"/>
        </w:rPr>
      </w:pPr>
      <w:r w:rsidRPr="000844FE">
        <w:rPr>
          <w:rFonts w:cs="Arial"/>
          <w:szCs w:val="24"/>
          <w:lang w:bidi="en-US"/>
        </w:rPr>
        <w:t>Direct or indirect</w:t>
      </w:r>
      <w:r w:rsidR="00DF68CB" w:rsidRPr="000844FE">
        <w:rPr>
          <w:rFonts w:cs="Arial"/>
          <w:szCs w:val="24"/>
          <w:lang w:bidi="en-US"/>
        </w:rPr>
        <w:t xml:space="preserve"> reference to de-ins</w:t>
      </w:r>
      <w:r w:rsidR="00F6232A" w:rsidRPr="000844FE">
        <w:rPr>
          <w:rFonts w:cs="Arial"/>
          <w:szCs w:val="24"/>
          <w:lang w:bidi="en-US"/>
        </w:rPr>
        <w:t>t</w:t>
      </w:r>
      <w:r w:rsidR="00DF68CB" w:rsidRPr="000844FE">
        <w:rPr>
          <w:rFonts w:cs="Arial"/>
          <w:szCs w:val="24"/>
          <w:lang w:bidi="en-US"/>
        </w:rPr>
        <w:t>it</w:t>
      </w:r>
      <w:r w:rsidR="00F6232A" w:rsidRPr="000844FE">
        <w:rPr>
          <w:rFonts w:cs="Arial"/>
          <w:szCs w:val="24"/>
          <w:lang w:bidi="en-US"/>
        </w:rPr>
        <w:t>utionalisation</w:t>
      </w:r>
      <w:r w:rsidR="000622FA" w:rsidRPr="000844FE">
        <w:rPr>
          <w:rFonts w:cs="Arial"/>
          <w:szCs w:val="24"/>
          <w:lang w:bidi="en-US"/>
        </w:rPr>
        <w:t xml:space="preserve"> measures are framed</w:t>
      </w:r>
      <w:r w:rsidR="00DC7159" w:rsidRPr="000844FE">
        <w:rPr>
          <w:rFonts w:cs="Arial"/>
          <w:szCs w:val="24"/>
          <w:lang w:bidi="en-US"/>
        </w:rPr>
        <w:t xml:space="preserve"> under </w:t>
      </w:r>
      <w:r w:rsidR="000622FA" w:rsidRPr="000844FE">
        <w:rPr>
          <w:rFonts w:cs="Arial"/>
          <w:szCs w:val="24"/>
          <w:lang w:bidi="en-US"/>
        </w:rPr>
        <w:t xml:space="preserve">actions for </w:t>
      </w:r>
      <w:r w:rsidR="00DC7159" w:rsidRPr="000844FE">
        <w:rPr>
          <w:rFonts w:cs="Arial"/>
          <w:szCs w:val="24"/>
          <w:lang w:bidi="en-US"/>
        </w:rPr>
        <w:t xml:space="preserve">promoting </w:t>
      </w:r>
      <w:r w:rsidR="000622FA" w:rsidRPr="000844FE">
        <w:rPr>
          <w:rFonts w:cs="Arial"/>
          <w:szCs w:val="24"/>
          <w:lang w:bidi="en-US"/>
        </w:rPr>
        <w:t xml:space="preserve">social inclusion and combating </w:t>
      </w:r>
      <w:r w:rsidR="00DC7159" w:rsidRPr="000844FE">
        <w:rPr>
          <w:rFonts w:cs="Arial"/>
          <w:szCs w:val="24"/>
          <w:lang w:bidi="en-US"/>
        </w:rPr>
        <w:t xml:space="preserve">discrimination and/or </w:t>
      </w:r>
      <w:r w:rsidR="000622FA" w:rsidRPr="000844FE">
        <w:rPr>
          <w:rFonts w:cs="Arial"/>
          <w:szCs w:val="24"/>
          <w:lang w:bidi="en-US"/>
        </w:rPr>
        <w:t>risk of poverty</w:t>
      </w:r>
      <w:r w:rsidR="00DC7159" w:rsidRPr="000844FE">
        <w:rPr>
          <w:rFonts w:cs="Arial"/>
          <w:szCs w:val="24"/>
          <w:lang w:bidi="en-US"/>
        </w:rPr>
        <w:t>. These</w:t>
      </w:r>
      <w:r w:rsidR="000622FA" w:rsidRPr="000844FE">
        <w:rPr>
          <w:rFonts w:cs="Arial"/>
          <w:szCs w:val="24"/>
          <w:lang w:bidi="en-US"/>
        </w:rPr>
        <w:t xml:space="preserve"> are found </w:t>
      </w:r>
      <w:r w:rsidR="00DF68CB" w:rsidRPr="000844FE">
        <w:rPr>
          <w:rFonts w:cs="Arial"/>
          <w:szCs w:val="24"/>
          <w:lang w:bidi="en-US"/>
        </w:rPr>
        <w:t>in the following official</w:t>
      </w:r>
      <w:r w:rsidR="00DC7159" w:rsidRPr="000844FE">
        <w:rPr>
          <w:rFonts w:cs="Arial"/>
          <w:szCs w:val="24"/>
          <w:lang w:bidi="en-US"/>
        </w:rPr>
        <w:t xml:space="preserve"> </w:t>
      </w:r>
      <w:r w:rsidR="00F6232A" w:rsidRPr="000844FE">
        <w:rPr>
          <w:rFonts w:cs="Arial"/>
          <w:szCs w:val="24"/>
          <w:lang w:bidi="en-US"/>
        </w:rPr>
        <w:t>documents:</w:t>
      </w:r>
    </w:p>
    <w:p w14:paraId="52A8CFE8" w14:textId="12E0E472" w:rsidR="00F6232A" w:rsidRPr="000844FE" w:rsidRDefault="00F6232A" w:rsidP="000844FE">
      <w:pPr>
        <w:rPr>
          <w:rFonts w:cs="Arial"/>
          <w:szCs w:val="24"/>
          <w:lang w:bidi="en-US"/>
        </w:rPr>
      </w:pPr>
    </w:p>
    <w:p w14:paraId="4F362C7A" w14:textId="3B6ACB3B" w:rsidR="008E4ACD" w:rsidRPr="000844FE" w:rsidRDefault="00512877" w:rsidP="00112AE1">
      <w:pPr>
        <w:pStyle w:val="opsomming"/>
      </w:pPr>
      <w:r w:rsidRPr="000844FE">
        <w:t xml:space="preserve">National Strategic Policy Framework for </w:t>
      </w:r>
      <w:r w:rsidR="00B04224" w:rsidRPr="000844FE">
        <w:t>Social Integration</w:t>
      </w:r>
      <w:r w:rsidR="005B6570" w:rsidRPr="000844FE">
        <w:t xml:space="preserve"> (NSFPR)</w:t>
      </w:r>
      <w:r w:rsidR="00B04224" w:rsidRPr="000844FE">
        <w:t xml:space="preserve"> 2014 </w:t>
      </w:r>
      <w:r w:rsidR="00112AE1">
        <w:t>–</w:t>
      </w:r>
      <w:r w:rsidR="00B04224" w:rsidRPr="000844FE">
        <w:t xml:space="preserve"> 2020</w:t>
      </w:r>
      <w:r w:rsidR="00112AE1">
        <w:t>.</w:t>
      </w:r>
      <w:r w:rsidR="006E763E" w:rsidRPr="000844FE">
        <w:rPr>
          <w:rStyle w:val="FootnoteReference"/>
          <w:sz w:val="24"/>
        </w:rPr>
        <w:footnoteReference w:id="24"/>
      </w:r>
    </w:p>
    <w:p w14:paraId="7B0DAA7C" w14:textId="610DBC08" w:rsidR="009D5AF3" w:rsidRPr="000844FE" w:rsidRDefault="009D5AF3" w:rsidP="000844FE">
      <w:pPr>
        <w:rPr>
          <w:rFonts w:cs="Arial"/>
          <w:szCs w:val="24"/>
        </w:rPr>
      </w:pPr>
    </w:p>
    <w:p w14:paraId="66F37A76" w14:textId="45ECFFD8" w:rsidR="009D5AF3" w:rsidRPr="000844FE" w:rsidRDefault="00463297" w:rsidP="000844FE">
      <w:pPr>
        <w:rPr>
          <w:rFonts w:cs="Arial"/>
          <w:szCs w:val="24"/>
        </w:rPr>
      </w:pPr>
      <w:r w:rsidRPr="000844FE">
        <w:rPr>
          <w:rFonts w:cs="Arial"/>
          <w:szCs w:val="24"/>
        </w:rPr>
        <w:t>In particular</w:t>
      </w:r>
      <w:r w:rsidR="00112AE1">
        <w:rPr>
          <w:rFonts w:cs="Arial"/>
          <w:szCs w:val="24"/>
        </w:rPr>
        <w:t>,</w:t>
      </w:r>
      <w:r w:rsidR="00DF68CB" w:rsidRPr="000844FE">
        <w:rPr>
          <w:rStyle w:val="FootnoteReference"/>
          <w:rFonts w:cs="Arial"/>
          <w:sz w:val="24"/>
          <w:szCs w:val="24"/>
        </w:rPr>
        <w:footnoteReference w:id="25"/>
      </w:r>
      <w:r w:rsidR="00DF68CB" w:rsidRPr="000844FE">
        <w:rPr>
          <w:rFonts w:cs="Arial"/>
          <w:szCs w:val="24"/>
        </w:rPr>
        <w:t xml:space="preserve"> p</w:t>
      </w:r>
      <w:r w:rsidR="009D5AF3" w:rsidRPr="000844FE">
        <w:rPr>
          <w:rFonts w:cs="Arial"/>
          <w:szCs w:val="24"/>
        </w:rPr>
        <w:t>eople with disabilities are acknowledged to be among social groups at increased risk of poverty and social exclusion, while further distinctions are made concerning chronic illness, people in need of assistance for daily tasks and people living in institutions</w:t>
      </w:r>
      <w:r w:rsidRPr="000844FE">
        <w:rPr>
          <w:rFonts w:cs="Arial"/>
          <w:szCs w:val="24"/>
        </w:rPr>
        <w:t>.</w:t>
      </w:r>
      <w:r w:rsidRPr="000844FE">
        <w:rPr>
          <w:rStyle w:val="FootnoteReference"/>
          <w:rFonts w:cs="Arial"/>
          <w:sz w:val="24"/>
          <w:szCs w:val="24"/>
        </w:rPr>
        <w:footnoteReference w:id="26"/>
      </w:r>
      <w:r w:rsidRPr="000844FE">
        <w:rPr>
          <w:rFonts w:cs="Arial"/>
          <w:szCs w:val="24"/>
        </w:rPr>
        <w:t xml:space="preserve"> </w:t>
      </w:r>
      <w:r w:rsidR="009D5AF3" w:rsidRPr="000844FE">
        <w:rPr>
          <w:rFonts w:cs="Arial"/>
          <w:szCs w:val="24"/>
        </w:rPr>
        <w:t>Disability targeted actions include widening provision of community based services, pro</w:t>
      </w:r>
      <w:r w:rsidRPr="000844FE">
        <w:rPr>
          <w:rFonts w:cs="Arial"/>
          <w:szCs w:val="24"/>
        </w:rPr>
        <w:t xml:space="preserve">moting de-institutionalisation </w:t>
      </w:r>
      <w:r w:rsidR="009D5AF3" w:rsidRPr="000844FE">
        <w:rPr>
          <w:rFonts w:cs="Arial"/>
          <w:szCs w:val="24"/>
        </w:rPr>
        <w:t>e.g. widening implementation of supported living shelters schemes for adults and children with disabilities</w:t>
      </w:r>
      <w:r w:rsidR="00112AE1">
        <w:rPr>
          <w:rFonts w:cs="Arial"/>
          <w:szCs w:val="24"/>
        </w:rPr>
        <w:t>,</w:t>
      </w:r>
      <w:r w:rsidRPr="000844FE">
        <w:rPr>
          <w:rStyle w:val="FootnoteReference"/>
          <w:rFonts w:cs="Arial"/>
          <w:sz w:val="24"/>
          <w:szCs w:val="24"/>
        </w:rPr>
        <w:footnoteReference w:id="27"/>
      </w:r>
      <w:r w:rsidR="009D5AF3" w:rsidRPr="000844FE">
        <w:rPr>
          <w:rFonts w:cs="Arial"/>
          <w:szCs w:val="24"/>
        </w:rPr>
        <w:t xml:space="preserve"> ensuring access to special education, including nursing tasks in home help service provision, as well as promoting participation of people with disabilities in specifically designed V</w:t>
      </w:r>
      <w:r w:rsidR="00192941" w:rsidRPr="000844FE">
        <w:rPr>
          <w:rFonts w:cs="Arial"/>
          <w:szCs w:val="24"/>
        </w:rPr>
        <w:t xml:space="preserve">ocational </w:t>
      </w:r>
      <w:r w:rsidR="009D5AF3" w:rsidRPr="000844FE">
        <w:rPr>
          <w:rFonts w:cs="Arial"/>
          <w:szCs w:val="24"/>
        </w:rPr>
        <w:t>E</w:t>
      </w:r>
      <w:r w:rsidR="00192941" w:rsidRPr="000844FE">
        <w:rPr>
          <w:rFonts w:cs="Arial"/>
          <w:szCs w:val="24"/>
        </w:rPr>
        <w:t xml:space="preserve">ducation and </w:t>
      </w:r>
      <w:r w:rsidR="009D5AF3" w:rsidRPr="000844FE">
        <w:rPr>
          <w:rFonts w:cs="Arial"/>
          <w:szCs w:val="24"/>
        </w:rPr>
        <w:t>T</w:t>
      </w:r>
      <w:r w:rsidR="00192941" w:rsidRPr="000844FE">
        <w:rPr>
          <w:rFonts w:cs="Arial"/>
          <w:szCs w:val="24"/>
        </w:rPr>
        <w:t>raining</w:t>
      </w:r>
      <w:r w:rsidR="009D5AF3" w:rsidRPr="000844FE">
        <w:rPr>
          <w:rFonts w:cs="Arial"/>
          <w:szCs w:val="24"/>
        </w:rPr>
        <w:t xml:space="preserve"> schemes, active labour programs, and social entrepreneurship schemes</w:t>
      </w:r>
      <w:r w:rsidR="00DF68CB" w:rsidRPr="000844FE">
        <w:rPr>
          <w:rFonts w:cs="Arial"/>
          <w:szCs w:val="24"/>
        </w:rPr>
        <w:t>.</w:t>
      </w:r>
    </w:p>
    <w:p w14:paraId="02EE9F18" w14:textId="77777777" w:rsidR="009D5AF3" w:rsidRPr="000844FE" w:rsidRDefault="009D5AF3" w:rsidP="000844FE">
      <w:pPr>
        <w:rPr>
          <w:rFonts w:cs="Arial"/>
          <w:szCs w:val="24"/>
        </w:rPr>
      </w:pPr>
    </w:p>
    <w:p w14:paraId="56158B72" w14:textId="1B3326D2" w:rsidR="00EB17EF" w:rsidRPr="000844FE" w:rsidRDefault="00EB17EF" w:rsidP="00112AE1">
      <w:pPr>
        <w:pStyle w:val="opsomming"/>
      </w:pPr>
      <w:r w:rsidRPr="000844FE">
        <w:t>Partnership Agreement with the European Commission 2014-</w:t>
      </w:r>
      <w:r w:rsidR="00B04224" w:rsidRPr="000844FE">
        <w:t xml:space="preserve"> </w:t>
      </w:r>
      <w:r w:rsidRPr="000844FE">
        <w:t>2020</w:t>
      </w:r>
    </w:p>
    <w:p w14:paraId="5308C3D3" w14:textId="77777777" w:rsidR="00A8539F" w:rsidRPr="000844FE" w:rsidRDefault="00A8539F" w:rsidP="000844FE">
      <w:pPr>
        <w:rPr>
          <w:rFonts w:cs="Arial"/>
          <w:szCs w:val="24"/>
        </w:rPr>
      </w:pPr>
    </w:p>
    <w:p w14:paraId="21BCB3CA" w14:textId="75B80D3E" w:rsidR="0037036D" w:rsidRPr="000844FE" w:rsidRDefault="00B04224" w:rsidP="000844FE">
      <w:pPr>
        <w:rPr>
          <w:rFonts w:cs="Arial"/>
          <w:szCs w:val="24"/>
        </w:rPr>
      </w:pPr>
      <w:r w:rsidRPr="000844FE">
        <w:rPr>
          <w:rFonts w:cs="Arial"/>
          <w:szCs w:val="24"/>
        </w:rPr>
        <w:t>O</w:t>
      </w:r>
      <w:r w:rsidR="001F2A5B" w:rsidRPr="000844FE">
        <w:rPr>
          <w:rFonts w:cs="Arial"/>
          <w:szCs w:val="24"/>
        </w:rPr>
        <w:t>bjective (</w:t>
      </w:r>
      <w:r w:rsidR="004E325B" w:rsidRPr="000844FE">
        <w:rPr>
          <w:rFonts w:cs="Arial"/>
          <w:szCs w:val="24"/>
        </w:rPr>
        <w:t>2</w:t>
      </w:r>
      <w:r w:rsidR="001F2A5B" w:rsidRPr="000844FE">
        <w:rPr>
          <w:rFonts w:cs="Arial"/>
          <w:szCs w:val="24"/>
        </w:rPr>
        <w:t xml:space="preserve">) under </w:t>
      </w:r>
      <w:r w:rsidRPr="000844FE">
        <w:rPr>
          <w:rFonts w:cs="Arial"/>
          <w:szCs w:val="24"/>
        </w:rPr>
        <w:t xml:space="preserve">Thematic </w:t>
      </w:r>
      <w:r w:rsidR="001F2A5B" w:rsidRPr="000844FE">
        <w:rPr>
          <w:rFonts w:cs="Arial"/>
          <w:szCs w:val="24"/>
        </w:rPr>
        <w:t xml:space="preserve">Priority (9) </w:t>
      </w:r>
      <w:r w:rsidR="001F2A5B" w:rsidRPr="000844FE">
        <w:rPr>
          <w:rFonts w:cs="Arial"/>
          <w:i/>
          <w:szCs w:val="24"/>
        </w:rPr>
        <w:t>P</w:t>
      </w:r>
      <w:r w:rsidR="00A8539F" w:rsidRPr="000844FE">
        <w:rPr>
          <w:rFonts w:cs="Arial"/>
          <w:i/>
          <w:szCs w:val="24"/>
        </w:rPr>
        <w:t>romoting social inclusion and combating poverty and discrimination</w:t>
      </w:r>
      <w:r w:rsidR="001F2A5B" w:rsidRPr="000844FE">
        <w:rPr>
          <w:rFonts w:cs="Arial"/>
          <w:i/>
          <w:szCs w:val="24"/>
        </w:rPr>
        <w:t xml:space="preserve"> </w:t>
      </w:r>
      <w:r w:rsidR="001F2A5B" w:rsidRPr="000844FE">
        <w:rPr>
          <w:rFonts w:cs="Arial"/>
          <w:szCs w:val="24"/>
        </w:rPr>
        <w:t xml:space="preserve">of </w:t>
      </w:r>
      <w:r w:rsidR="00BA6AEC" w:rsidRPr="000844FE">
        <w:rPr>
          <w:rFonts w:cs="Arial"/>
          <w:szCs w:val="24"/>
        </w:rPr>
        <w:t>the Operational Program Human Resources Development</w:t>
      </w:r>
      <w:r w:rsidR="0086154B" w:rsidRPr="000844FE">
        <w:rPr>
          <w:rFonts w:cs="Arial"/>
          <w:szCs w:val="24"/>
        </w:rPr>
        <w:t xml:space="preserve">, </w:t>
      </w:r>
      <w:r w:rsidR="00AF0006" w:rsidRPr="000844FE">
        <w:rPr>
          <w:rFonts w:cs="Arial"/>
          <w:szCs w:val="24"/>
        </w:rPr>
        <w:t>in</w:t>
      </w:r>
      <w:r w:rsidR="00463297" w:rsidRPr="000844FE">
        <w:rPr>
          <w:rFonts w:cs="Arial"/>
          <w:szCs w:val="24"/>
        </w:rPr>
        <w:t>cludes</w:t>
      </w:r>
      <w:r w:rsidR="00AF0006" w:rsidRPr="000844FE">
        <w:rPr>
          <w:rFonts w:cs="Arial"/>
          <w:szCs w:val="24"/>
        </w:rPr>
        <w:t xml:space="preserve"> the following policy priority</w:t>
      </w:r>
      <w:r w:rsidR="00DC7159" w:rsidRPr="000844FE">
        <w:rPr>
          <w:rFonts w:cs="Arial"/>
          <w:szCs w:val="24"/>
        </w:rPr>
        <w:t>, which</w:t>
      </w:r>
      <w:r w:rsidR="00CE7CDA" w:rsidRPr="000844FE">
        <w:rPr>
          <w:rFonts w:cs="Arial"/>
          <w:szCs w:val="24"/>
        </w:rPr>
        <w:t xml:space="preserve"> </w:t>
      </w:r>
      <w:r w:rsidR="00DC7159" w:rsidRPr="000844FE">
        <w:rPr>
          <w:rFonts w:cs="Arial"/>
          <w:szCs w:val="24"/>
        </w:rPr>
        <w:t>aims</w:t>
      </w:r>
      <w:r w:rsidR="000474AF" w:rsidRPr="000844FE">
        <w:rPr>
          <w:rFonts w:cs="Arial"/>
          <w:szCs w:val="24"/>
        </w:rPr>
        <w:t xml:space="preserve"> to improve</w:t>
      </w:r>
      <w:r w:rsidR="00CE7CDA" w:rsidRPr="000844FE">
        <w:rPr>
          <w:rFonts w:cs="Arial"/>
          <w:szCs w:val="24"/>
        </w:rPr>
        <w:t xml:space="preserve"> access</w:t>
      </w:r>
      <w:r w:rsidR="0086154B" w:rsidRPr="000844FE">
        <w:rPr>
          <w:rFonts w:cs="Arial"/>
          <w:szCs w:val="24"/>
        </w:rPr>
        <w:t xml:space="preserve"> </w:t>
      </w:r>
      <w:r w:rsidR="00CE7CDA" w:rsidRPr="000844FE">
        <w:rPr>
          <w:rFonts w:cs="Arial"/>
          <w:szCs w:val="24"/>
        </w:rPr>
        <w:t>to high quality services in the community</w:t>
      </w:r>
      <w:r w:rsidR="00AF0006" w:rsidRPr="000844FE">
        <w:rPr>
          <w:rFonts w:cs="Arial"/>
          <w:szCs w:val="24"/>
        </w:rPr>
        <w:t>:</w:t>
      </w:r>
      <w:r w:rsidR="00BA6AEC" w:rsidRPr="000844FE">
        <w:rPr>
          <w:rFonts w:cs="Arial"/>
          <w:szCs w:val="24"/>
        </w:rPr>
        <w:t xml:space="preserve"> </w:t>
      </w:r>
    </w:p>
    <w:p w14:paraId="4BDC694D" w14:textId="7DA643EE" w:rsidR="00F60B44" w:rsidRPr="000844FE" w:rsidRDefault="00F60B44" w:rsidP="000844FE">
      <w:pPr>
        <w:rPr>
          <w:rFonts w:cs="Arial"/>
          <w:szCs w:val="24"/>
        </w:rPr>
      </w:pPr>
      <w:r w:rsidRPr="000844FE">
        <w:rPr>
          <w:rFonts w:cs="Arial"/>
          <w:szCs w:val="24"/>
        </w:rPr>
        <w:lastRenderedPageBreak/>
        <w:t xml:space="preserve">Improve access to affordable, sustainable and </w:t>
      </w:r>
      <w:r w:rsidR="00F50E2F" w:rsidRPr="000844FE">
        <w:rPr>
          <w:rFonts w:cs="Arial"/>
          <w:szCs w:val="24"/>
        </w:rPr>
        <w:t>high-quality</w:t>
      </w:r>
      <w:r w:rsidRPr="000844FE">
        <w:rPr>
          <w:rFonts w:cs="Arial"/>
          <w:szCs w:val="24"/>
        </w:rPr>
        <w:t xml:space="preserve"> services, including health and social care services. Additionally, interventions will be promoted for the development of new models and methods of adequate health service provision, patient empowerment and adoption of a patient-centred service model, according to international trends in health (which include supporting the possibility of patients to actively manage their health problems, to participate in the evaluation of the services received, to shape new primary services and relevant legislation, as well as in the development of new models of health service provision, e.g. home assistance, social clinics, etc)</w:t>
      </w:r>
      <w:r w:rsidR="00501A4A" w:rsidRPr="000844FE">
        <w:rPr>
          <w:rFonts w:cs="Arial"/>
          <w:szCs w:val="24"/>
        </w:rPr>
        <w:t>...</w:t>
      </w:r>
      <w:r w:rsidR="00AC26CC" w:rsidRPr="000844FE">
        <w:rPr>
          <w:rStyle w:val="FootnoteReference"/>
          <w:rFonts w:cs="Arial"/>
          <w:sz w:val="24"/>
          <w:szCs w:val="24"/>
        </w:rPr>
        <w:footnoteReference w:id="28"/>
      </w:r>
    </w:p>
    <w:p w14:paraId="44B2859D" w14:textId="00C867F4" w:rsidR="0037036D" w:rsidRPr="000844FE" w:rsidRDefault="00F60B44" w:rsidP="000844FE">
      <w:pPr>
        <w:rPr>
          <w:rFonts w:cs="Arial"/>
          <w:szCs w:val="24"/>
        </w:rPr>
      </w:pPr>
      <w:r w:rsidRPr="000844FE">
        <w:rPr>
          <w:rFonts w:cs="Arial"/>
          <w:szCs w:val="24"/>
        </w:rPr>
        <w:t xml:space="preserve"> </w:t>
      </w:r>
    </w:p>
    <w:p w14:paraId="11E4C7E7" w14:textId="38DE6ECA" w:rsidR="00550296" w:rsidRPr="000844FE" w:rsidRDefault="00550296" w:rsidP="000844FE">
      <w:pPr>
        <w:rPr>
          <w:rFonts w:cs="Arial"/>
          <w:szCs w:val="24"/>
        </w:rPr>
      </w:pPr>
      <w:r w:rsidRPr="000844FE">
        <w:rPr>
          <w:rFonts w:cs="Arial"/>
          <w:szCs w:val="24"/>
        </w:rPr>
        <w:t xml:space="preserve">The </w:t>
      </w:r>
      <w:r w:rsidR="006D4667" w:rsidRPr="000844FE">
        <w:rPr>
          <w:rFonts w:cs="Arial"/>
          <w:szCs w:val="24"/>
        </w:rPr>
        <w:t xml:space="preserve">ESF funded </w:t>
      </w:r>
      <w:r w:rsidRPr="000844FE">
        <w:rPr>
          <w:rFonts w:cs="Arial"/>
          <w:szCs w:val="24"/>
        </w:rPr>
        <w:t>Hum</w:t>
      </w:r>
      <w:r w:rsidR="006D4667" w:rsidRPr="000844FE">
        <w:rPr>
          <w:rFonts w:cs="Arial"/>
          <w:szCs w:val="24"/>
        </w:rPr>
        <w:t xml:space="preserve">an Resources Development </w:t>
      </w:r>
      <w:r w:rsidRPr="000844FE">
        <w:rPr>
          <w:rFonts w:cs="Arial"/>
          <w:szCs w:val="24"/>
        </w:rPr>
        <w:t xml:space="preserve">Operational Plan 2014-2020 focuses </w:t>
      </w:r>
      <w:r w:rsidR="00976A15" w:rsidRPr="000844FE">
        <w:rPr>
          <w:rFonts w:cs="Arial"/>
          <w:szCs w:val="24"/>
        </w:rPr>
        <w:t>rather</w:t>
      </w:r>
      <w:r w:rsidRPr="000844FE">
        <w:rPr>
          <w:rFonts w:cs="Arial"/>
          <w:szCs w:val="24"/>
        </w:rPr>
        <w:t xml:space="preserve"> on Investment Priority 9.1 – active social inclusion for promoting equal opportunities and improving employability and 9.5</w:t>
      </w:r>
      <w:r w:rsidR="00E67D29" w:rsidRPr="000844FE">
        <w:rPr>
          <w:rFonts w:cs="Arial"/>
          <w:szCs w:val="24"/>
        </w:rPr>
        <w:t xml:space="preserve"> -</w:t>
      </w:r>
      <w:r w:rsidRPr="000844FE">
        <w:rPr>
          <w:rFonts w:cs="Arial"/>
          <w:szCs w:val="24"/>
        </w:rPr>
        <w:t xml:space="preserve"> promoting social entrepreneurship and social economy for facilitating access to employment, as well as on the development of a mechanism for the coordination, monitoring and evaluation of social inclusion and social protection policies</w:t>
      </w:r>
      <w:r w:rsidR="00112AE1">
        <w:rPr>
          <w:rFonts w:cs="Arial"/>
          <w:szCs w:val="24"/>
        </w:rPr>
        <w:t>.</w:t>
      </w:r>
      <w:r w:rsidRPr="000844FE">
        <w:rPr>
          <w:rStyle w:val="FootnoteReference"/>
          <w:rFonts w:cs="Arial"/>
          <w:sz w:val="24"/>
          <w:szCs w:val="24"/>
        </w:rPr>
        <w:footnoteReference w:id="29"/>
      </w:r>
    </w:p>
    <w:p w14:paraId="044808C0" w14:textId="77777777" w:rsidR="00550296" w:rsidRPr="000844FE" w:rsidRDefault="00550296" w:rsidP="000844FE">
      <w:pPr>
        <w:rPr>
          <w:rFonts w:cs="Arial"/>
          <w:szCs w:val="24"/>
        </w:rPr>
      </w:pPr>
    </w:p>
    <w:p w14:paraId="74168C35" w14:textId="2A7AD3BE" w:rsidR="00F60B44" w:rsidRPr="000844FE" w:rsidRDefault="00FD73BF" w:rsidP="000844FE">
      <w:pPr>
        <w:rPr>
          <w:rFonts w:cs="Arial"/>
          <w:szCs w:val="24"/>
        </w:rPr>
      </w:pPr>
      <w:r w:rsidRPr="000844FE">
        <w:rPr>
          <w:rFonts w:cs="Arial"/>
          <w:szCs w:val="24"/>
        </w:rPr>
        <w:t>It should be noted</w:t>
      </w:r>
      <w:r w:rsidR="003D66B4" w:rsidRPr="000844FE">
        <w:rPr>
          <w:rFonts w:cs="Arial"/>
          <w:szCs w:val="24"/>
        </w:rPr>
        <w:t xml:space="preserve"> furthermore</w:t>
      </w:r>
      <w:r w:rsidRPr="000844FE">
        <w:rPr>
          <w:rFonts w:cs="Arial"/>
          <w:szCs w:val="24"/>
        </w:rPr>
        <w:t xml:space="preserve"> </w:t>
      </w:r>
      <w:r w:rsidR="00BA6AEC" w:rsidRPr="000844FE">
        <w:rPr>
          <w:rFonts w:cs="Arial"/>
          <w:szCs w:val="24"/>
        </w:rPr>
        <w:t xml:space="preserve">that </w:t>
      </w:r>
      <w:r w:rsidR="00F60B44" w:rsidRPr="000844FE">
        <w:rPr>
          <w:rFonts w:cs="Arial"/>
          <w:szCs w:val="24"/>
        </w:rPr>
        <w:t xml:space="preserve">the </w:t>
      </w:r>
      <w:r w:rsidR="003D66B4" w:rsidRPr="000844FE">
        <w:rPr>
          <w:rFonts w:cs="Arial"/>
          <w:szCs w:val="24"/>
        </w:rPr>
        <w:t xml:space="preserve">Thematic Priority (9) </w:t>
      </w:r>
      <w:r w:rsidR="003D66B4" w:rsidRPr="000844FE">
        <w:rPr>
          <w:rFonts w:cs="Arial"/>
          <w:i/>
          <w:szCs w:val="24"/>
        </w:rPr>
        <w:t>Promoting social inclusion and combating poverty and discrimination</w:t>
      </w:r>
      <w:r w:rsidR="003D66B4" w:rsidRPr="000844FE">
        <w:rPr>
          <w:rFonts w:cs="Arial"/>
          <w:szCs w:val="24"/>
        </w:rPr>
        <w:t xml:space="preserve"> </w:t>
      </w:r>
      <w:r w:rsidR="00BA6AEC" w:rsidRPr="000844FE">
        <w:rPr>
          <w:rFonts w:cs="Arial"/>
          <w:szCs w:val="24"/>
        </w:rPr>
        <w:t>forms only a marginal part of</w:t>
      </w:r>
      <w:r w:rsidRPr="000844FE">
        <w:rPr>
          <w:rFonts w:cs="Arial"/>
          <w:szCs w:val="24"/>
        </w:rPr>
        <w:t xml:space="preserve"> the specific </w:t>
      </w:r>
      <w:r w:rsidR="00F60B44" w:rsidRPr="000844FE">
        <w:rPr>
          <w:rFonts w:cs="Arial"/>
          <w:szCs w:val="24"/>
        </w:rPr>
        <w:t>O</w:t>
      </w:r>
      <w:r w:rsidR="005B6570" w:rsidRPr="000844FE">
        <w:rPr>
          <w:rFonts w:cs="Arial"/>
          <w:szCs w:val="24"/>
        </w:rPr>
        <w:t xml:space="preserve">perational </w:t>
      </w:r>
      <w:r w:rsidR="00F60B44" w:rsidRPr="000844FE">
        <w:rPr>
          <w:rFonts w:cs="Arial"/>
          <w:szCs w:val="24"/>
        </w:rPr>
        <w:t>P</w:t>
      </w:r>
      <w:r w:rsidR="005B6570" w:rsidRPr="000844FE">
        <w:rPr>
          <w:rFonts w:cs="Arial"/>
          <w:szCs w:val="24"/>
        </w:rPr>
        <w:t>lan</w:t>
      </w:r>
      <w:r w:rsidR="00BA6AEC" w:rsidRPr="000844FE">
        <w:rPr>
          <w:rFonts w:cs="Arial"/>
          <w:szCs w:val="24"/>
        </w:rPr>
        <w:t xml:space="preserve"> </w:t>
      </w:r>
      <w:r w:rsidRPr="000844FE">
        <w:rPr>
          <w:rFonts w:cs="Arial"/>
          <w:szCs w:val="24"/>
        </w:rPr>
        <w:t xml:space="preserve">funded by </w:t>
      </w:r>
      <w:r w:rsidR="006D4667" w:rsidRPr="000844FE">
        <w:rPr>
          <w:rFonts w:cs="Arial"/>
          <w:szCs w:val="24"/>
        </w:rPr>
        <w:t xml:space="preserve">ESF </w:t>
      </w:r>
      <w:r w:rsidR="00BA6AEC" w:rsidRPr="000844FE">
        <w:rPr>
          <w:rFonts w:cs="Arial"/>
          <w:szCs w:val="24"/>
        </w:rPr>
        <w:t>(3</w:t>
      </w:r>
      <w:r w:rsidR="00112AE1">
        <w:rPr>
          <w:rFonts w:cs="Arial"/>
          <w:szCs w:val="24"/>
        </w:rPr>
        <w:t xml:space="preserve"> </w:t>
      </w:r>
      <w:r w:rsidR="00F60B44" w:rsidRPr="000844FE">
        <w:rPr>
          <w:rFonts w:cs="Arial"/>
          <w:szCs w:val="24"/>
        </w:rPr>
        <w:t>%) since such actions are to</w:t>
      </w:r>
      <w:r w:rsidR="00BA6AEC" w:rsidRPr="000844FE">
        <w:rPr>
          <w:rFonts w:cs="Arial"/>
          <w:szCs w:val="24"/>
        </w:rPr>
        <w:t xml:space="preserve"> be covered </w:t>
      </w:r>
      <w:r w:rsidR="00B24BE6" w:rsidRPr="000844FE">
        <w:rPr>
          <w:rFonts w:cs="Arial"/>
          <w:szCs w:val="24"/>
        </w:rPr>
        <w:t xml:space="preserve">more extensively </w:t>
      </w:r>
      <w:r w:rsidR="00BA6AEC" w:rsidRPr="000844FE">
        <w:rPr>
          <w:rFonts w:cs="Arial"/>
          <w:szCs w:val="24"/>
        </w:rPr>
        <w:t>by the 13 Regional operational programmes</w:t>
      </w:r>
      <w:r w:rsidR="00112AE1">
        <w:rPr>
          <w:rFonts w:cs="Arial"/>
          <w:szCs w:val="24"/>
        </w:rPr>
        <w:t>,</w:t>
      </w:r>
      <w:r w:rsidR="00BA6AEC" w:rsidRPr="000844FE">
        <w:rPr>
          <w:rStyle w:val="FootnoteReference"/>
          <w:rFonts w:cs="Arial"/>
          <w:sz w:val="24"/>
          <w:szCs w:val="24"/>
        </w:rPr>
        <w:footnoteReference w:id="30"/>
      </w:r>
      <w:r w:rsidR="00B24BE6" w:rsidRPr="000844FE">
        <w:rPr>
          <w:rFonts w:cs="Arial"/>
          <w:szCs w:val="24"/>
        </w:rPr>
        <w:t xml:space="preserve"> where each </w:t>
      </w:r>
      <w:r w:rsidR="00DB6B08" w:rsidRPr="000844FE">
        <w:rPr>
          <w:rFonts w:cs="Arial"/>
          <w:szCs w:val="24"/>
        </w:rPr>
        <w:t xml:space="preserve">administrative region selects </w:t>
      </w:r>
      <w:r w:rsidR="00B24BE6" w:rsidRPr="000844FE">
        <w:rPr>
          <w:rFonts w:cs="Arial"/>
          <w:szCs w:val="24"/>
        </w:rPr>
        <w:t>specific actions</w:t>
      </w:r>
      <w:r w:rsidR="00AA629C" w:rsidRPr="000844FE">
        <w:rPr>
          <w:rFonts w:cs="Arial"/>
          <w:szCs w:val="24"/>
        </w:rPr>
        <w:t xml:space="preserve"> </w:t>
      </w:r>
      <w:r w:rsidR="00DB6B08" w:rsidRPr="000844FE">
        <w:rPr>
          <w:rFonts w:cs="Arial"/>
          <w:szCs w:val="24"/>
        </w:rPr>
        <w:t>to fund</w:t>
      </w:r>
      <w:r w:rsidR="00FC3EAC" w:rsidRPr="000844FE">
        <w:rPr>
          <w:rFonts w:cs="Arial"/>
          <w:szCs w:val="24"/>
        </w:rPr>
        <w:t xml:space="preserve"> under the agreed </w:t>
      </w:r>
      <w:r w:rsidR="00B24BE6" w:rsidRPr="000844FE">
        <w:rPr>
          <w:rFonts w:cs="Arial"/>
          <w:szCs w:val="24"/>
        </w:rPr>
        <w:t>priorities</w:t>
      </w:r>
      <w:r w:rsidR="00FC3EAC" w:rsidRPr="000844FE">
        <w:rPr>
          <w:rFonts w:cs="Arial"/>
          <w:szCs w:val="24"/>
        </w:rPr>
        <w:t xml:space="preserve"> and objectives</w:t>
      </w:r>
      <w:r w:rsidR="00B24BE6" w:rsidRPr="000844FE">
        <w:rPr>
          <w:rFonts w:cs="Arial"/>
          <w:szCs w:val="24"/>
        </w:rPr>
        <w:t xml:space="preserve">. In practice, this results in varying levels of adoption of </w:t>
      </w:r>
      <w:r w:rsidR="00B11482" w:rsidRPr="000844FE">
        <w:rPr>
          <w:rFonts w:cs="Arial"/>
          <w:szCs w:val="24"/>
        </w:rPr>
        <w:t xml:space="preserve">any </w:t>
      </w:r>
      <w:r w:rsidR="00B24BE6" w:rsidRPr="000844FE">
        <w:rPr>
          <w:rFonts w:cs="Arial"/>
          <w:szCs w:val="24"/>
        </w:rPr>
        <w:t xml:space="preserve">de-institutionalisation </w:t>
      </w:r>
      <w:r w:rsidR="006C3DF4" w:rsidRPr="000844FE">
        <w:rPr>
          <w:rFonts w:cs="Arial"/>
          <w:szCs w:val="24"/>
        </w:rPr>
        <w:t xml:space="preserve">and/or social inclusion </w:t>
      </w:r>
      <w:r w:rsidR="00625BFF" w:rsidRPr="000844FE">
        <w:rPr>
          <w:rFonts w:cs="Arial"/>
          <w:szCs w:val="24"/>
        </w:rPr>
        <w:t>measures</w:t>
      </w:r>
      <w:r w:rsidR="009A3D34" w:rsidRPr="000844FE">
        <w:rPr>
          <w:rFonts w:cs="Arial"/>
          <w:szCs w:val="24"/>
        </w:rPr>
        <w:t xml:space="preserve"> </w:t>
      </w:r>
      <w:r w:rsidR="00B24BE6" w:rsidRPr="000844FE">
        <w:rPr>
          <w:rFonts w:cs="Arial"/>
          <w:szCs w:val="24"/>
        </w:rPr>
        <w:t>and respectively variations in</w:t>
      </w:r>
      <w:r w:rsidR="00625BFF" w:rsidRPr="000844FE">
        <w:rPr>
          <w:rFonts w:cs="Arial"/>
          <w:szCs w:val="24"/>
        </w:rPr>
        <w:t xml:space="preserve"> </w:t>
      </w:r>
      <w:r w:rsidR="00A500D3" w:rsidRPr="000844FE">
        <w:rPr>
          <w:rFonts w:cs="Arial"/>
          <w:szCs w:val="24"/>
        </w:rPr>
        <w:t xml:space="preserve">progress and </w:t>
      </w:r>
      <w:r w:rsidR="00625BFF" w:rsidRPr="000844FE">
        <w:rPr>
          <w:rFonts w:cs="Arial"/>
          <w:szCs w:val="24"/>
        </w:rPr>
        <w:t>implementation across regional authorities</w:t>
      </w:r>
      <w:r w:rsidR="005E12AE" w:rsidRPr="000844FE">
        <w:rPr>
          <w:rFonts w:cs="Arial"/>
          <w:szCs w:val="24"/>
        </w:rPr>
        <w:t>.</w:t>
      </w:r>
      <w:r w:rsidR="00625BFF" w:rsidRPr="000844FE">
        <w:rPr>
          <w:rFonts w:cs="Arial"/>
          <w:szCs w:val="24"/>
        </w:rPr>
        <w:t xml:space="preserve"> </w:t>
      </w:r>
    </w:p>
    <w:p w14:paraId="4250645B" w14:textId="77777777" w:rsidR="00193BD5" w:rsidRPr="000844FE" w:rsidRDefault="00193BD5" w:rsidP="000844FE">
      <w:pPr>
        <w:rPr>
          <w:rFonts w:cs="Arial"/>
          <w:szCs w:val="24"/>
        </w:rPr>
      </w:pPr>
    </w:p>
    <w:p w14:paraId="6DCA1734" w14:textId="6DCBBE57" w:rsidR="00F32512" w:rsidRPr="000844FE" w:rsidRDefault="00F32512" w:rsidP="000844FE">
      <w:pPr>
        <w:rPr>
          <w:rFonts w:cs="Arial"/>
          <w:szCs w:val="24"/>
        </w:rPr>
      </w:pPr>
      <w:r w:rsidRPr="000844FE">
        <w:rPr>
          <w:rFonts w:cs="Arial"/>
          <w:szCs w:val="24"/>
        </w:rPr>
        <w:t>A</w:t>
      </w:r>
      <w:r w:rsidR="00193BD5" w:rsidRPr="000844FE">
        <w:rPr>
          <w:rFonts w:cs="Arial"/>
          <w:szCs w:val="24"/>
        </w:rPr>
        <w:t>ccording to the Community Living for Europe Structural Funds Watch</w:t>
      </w:r>
      <w:r w:rsidRPr="000844FE">
        <w:rPr>
          <w:rFonts w:cs="Arial"/>
          <w:szCs w:val="24"/>
        </w:rPr>
        <w:t xml:space="preserve">, the </w:t>
      </w:r>
      <w:r w:rsidR="00193BD5" w:rsidRPr="000844FE">
        <w:rPr>
          <w:rFonts w:cs="Arial"/>
          <w:szCs w:val="24"/>
        </w:rPr>
        <w:t>Ex ante conditionality 9.1 was assessed as applicable to the 13 Regional multi-fund (ERDF/ESF) Operational Programmes,</w:t>
      </w:r>
      <w:r w:rsidR="00193BD5" w:rsidRPr="000844FE">
        <w:rPr>
          <w:rStyle w:val="FootnoteReference"/>
          <w:rFonts w:cs="Arial"/>
          <w:sz w:val="24"/>
          <w:szCs w:val="24"/>
        </w:rPr>
        <w:footnoteReference w:id="31"/>
      </w:r>
      <w:r w:rsidR="00193BD5" w:rsidRPr="000844FE">
        <w:rPr>
          <w:rFonts w:cs="Arial"/>
          <w:szCs w:val="24"/>
        </w:rPr>
        <w:t xml:space="preserve"> with only one region (Region of Attika) fulfilling it</w:t>
      </w:r>
      <w:r w:rsidR="00E375F7" w:rsidRPr="000844FE">
        <w:rPr>
          <w:rFonts w:cs="Arial"/>
          <w:szCs w:val="24"/>
        </w:rPr>
        <w:t xml:space="preserve"> at the time</w:t>
      </w:r>
      <w:r w:rsidR="00193BD5" w:rsidRPr="000844FE">
        <w:rPr>
          <w:rFonts w:cs="Arial"/>
          <w:szCs w:val="24"/>
        </w:rPr>
        <w:t>.</w:t>
      </w:r>
      <w:r w:rsidR="00E375F7" w:rsidRPr="000844FE">
        <w:rPr>
          <w:rFonts w:cs="Arial"/>
          <w:szCs w:val="24"/>
        </w:rPr>
        <w:t xml:space="preserve"> The </w:t>
      </w:r>
      <w:r w:rsidR="00F12B48" w:rsidRPr="000844FE">
        <w:rPr>
          <w:rFonts w:cs="Arial"/>
          <w:szCs w:val="24"/>
        </w:rPr>
        <w:t>f</w:t>
      </w:r>
      <w:r w:rsidR="00E375F7" w:rsidRPr="000844FE">
        <w:rPr>
          <w:rFonts w:cs="Arial"/>
          <w:szCs w:val="24"/>
        </w:rPr>
        <w:t xml:space="preserve">irst </w:t>
      </w:r>
      <w:r w:rsidR="00F12B48" w:rsidRPr="000844FE">
        <w:rPr>
          <w:rFonts w:cs="Arial"/>
          <w:szCs w:val="24"/>
        </w:rPr>
        <w:t xml:space="preserve">ESIF </w:t>
      </w:r>
      <w:r w:rsidR="00E375F7" w:rsidRPr="000844FE">
        <w:rPr>
          <w:rFonts w:cs="Arial"/>
          <w:szCs w:val="24"/>
        </w:rPr>
        <w:t>progress report</w:t>
      </w:r>
      <w:r w:rsidR="00F12B48" w:rsidRPr="000844FE">
        <w:rPr>
          <w:rFonts w:cs="Arial"/>
          <w:szCs w:val="24"/>
        </w:rPr>
        <w:t xml:space="preserve"> (2017) states that all 13 regions have now a Regional Strategy for Combating Poverty</w:t>
      </w:r>
      <w:r w:rsidR="00112AE1">
        <w:rPr>
          <w:rFonts w:cs="Arial"/>
          <w:szCs w:val="24"/>
        </w:rPr>
        <w:t>,</w:t>
      </w:r>
      <w:r w:rsidR="00F12B48" w:rsidRPr="000844FE">
        <w:rPr>
          <w:rStyle w:val="FootnoteReference"/>
          <w:rFonts w:cs="Arial"/>
          <w:sz w:val="24"/>
          <w:szCs w:val="24"/>
        </w:rPr>
        <w:footnoteReference w:id="32"/>
      </w:r>
      <w:r w:rsidR="005807DF" w:rsidRPr="000844FE">
        <w:rPr>
          <w:rFonts w:cs="Arial"/>
          <w:szCs w:val="24"/>
        </w:rPr>
        <w:t xml:space="preserve"> however no specific measures</w:t>
      </w:r>
      <w:r w:rsidR="00F12B48" w:rsidRPr="000844FE">
        <w:rPr>
          <w:rFonts w:cs="Arial"/>
          <w:szCs w:val="24"/>
        </w:rPr>
        <w:t xml:space="preserve"> for de-institutionalisatio</w:t>
      </w:r>
      <w:r w:rsidR="005807DF" w:rsidRPr="000844FE">
        <w:rPr>
          <w:rFonts w:cs="Arial"/>
          <w:szCs w:val="24"/>
        </w:rPr>
        <w:t xml:space="preserve">n have been announced </w:t>
      </w:r>
      <w:r w:rsidR="006C3DF4" w:rsidRPr="000844FE">
        <w:rPr>
          <w:rFonts w:cs="Arial"/>
          <w:szCs w:val="24"/>
        </w:rPr>
        <w:t xml:space="preserve">on regional level </w:t>
      </w:r>
      <w:proofErr w:type="gramStart"/>
      <w:r w:rsidR="005807DF" w:rsidRPr="000844FE">
        <w:rPr>
          <w:rFonts w:cs="Arial"/>
          <w:szCs w:val="24"/>
        </w:rPr>
        <w:t>with the exception of</w:t>
      </w:r>
      <w:proofErr w:type="gramEnd"/>
      <w:r w:rsidR="005807DF" w:rsidRPr="000844FE">
        <w:rPr>
          <w:rFonts w:cs="Arial"/>
          <w:szCs w:val="24"/>
        </w:rPr>
        <w:t xml:space="preserve"> the Region of Attika.</w:t>
      </w:r>
      <w:r w:rsidR="00DE0B12">
        <w:rPr>
          <w:rFonts w:cs="Arial"/>
          <w:szCs w:val="24"/>
        </w:rPr>
        <w:t xml:space="preserve"> </w:t>
      </w:r>
    </w:p>
    <w:p w14:paraId="22DFC83E" w14:textId="77777777" w:rsidR="00F32512" w:rsidRPr="000844FE" w:rsidRDefault="00F32512" w:rsidP="000844FE">
      <w:pPr>
        <w:rPr>
          <w:rFonts w:cs="Arial"/>
          <w:szCs w:val="24"/>
        </w:rPr>
      </w:pPr>
    </w:p>
    <w:p w14:paraId="29B9902C" w14:textId="14E682FC" w:rsidR="00A8539F" w:rsidRDefault="00550296" w:rsidP="000844FE">
      <w:pPr>
        <w:rPr>
          <w:rFonts w:cs="Arial"/>
          <w:szCs w:val="24"/>
        </w:rPr>
      </w:pPr>
      <w:r w:rsidRPr="000844FE">
        <w:rPr>
          <w:rFonts w:cs="Arial"/>
          <w:szCs w:val="24"/>
        </w:rPr>
        <w:t>Indeed, t</w:t>
      </w:r>
      <w:r w:rsidR="00F41575" w:rsidRPr="000844FE">
        <w:rPr>
          <w:rFonts w:cs="Arial"/>
          <w:szCs w:val="24"/>
        </w:rPr>
        <w:t>he Regional</w:t>
      </w:r>
      <w:r w:rsidR="00512877" w:rsidRPr="000844FE">
        <w:rPr>
          <w:rFonts w:cs="Arial"/>
          <w:szCs w:val="24"/>
        </w:rPr>
        <w:t xml:space="preserve"> Strategy for Social Inclusion and </w:t>
      </w:r>
      <w:r w:rsidR="005B6570" w:rsidRPr="000844FE">
        <w:rPr>
          <w:rFonts w:cs="Arial"/>
          <w:szCs w:val="24"/>
        </w:rPr>
        <w:t>F</w:t>
      </w:r>
      <w:r w:rsidR="00512877" w:rsidRPr="000844FE">
        <w:rPr>
          <w:rFonts w:cs="Arial"/>
          <w:szCs w:val="24"/>
        </w:rPr>
        <w:t xml:space="preserve">ight against </w:t>
      </w:r>
      <w:r w:rsidR="005B6570" w:rsidRPr="000844FE">
        <w:rPr>
          <w:rFonts w:cs="Arial"/>
          <w:szCs w:val="24"/>
        </w:rPr>
        <w:t>P</w:t>
      </w:r>
      <w:r w:rsidR="00512877" w:rsidRPr="000844FE">
        <w:rPr>
          <w:rFonts w:cs="Arial"/>
          <w:szCs w:val="24"/>
        </w:rPr>
        <w:t>overty</w:t>
      </w:r>
      <w:r w:rsidR="006D4667" w:rsidRPr="000844FE">
        <w:rPr>
          <w:rFonts w:cs="Arial"/>
          <w:szCs w:val="24"/>
        </w:rPr>
        <w:t xml:space="preserve"> of Attika </w:t>
      </w:r>
      <w:r w:rsidR="00F41575" w:rsidRPr="000844FE">
        <w:rPr>
          <w:rFonts w:cs="Arial"/>
          <w:szCs w:val="24"/>
        </w:rPr>
        <w:t>explicitly addresses</w:t>
      </w:r>
      <w:r w:rsidR="00512877" w:rsidRPr="000844FE">
        <w:rPr>
          <w:rFonts w:cs="Arial"/>
          <w:szCs w:val="24"/>
        </w:rPr>
        <w:t xml:space="preserve"> de-institutionalisation </w:t>
      </w:r>
      <w:r w:rsidR="006C3DF4" w:rsidRPr="000844FE">
        <w:rPr>
          <w:rFonts w:cs="Arial"/>
          <w:szCs w:val="24"/>
        </w:rPr>
        <w:t xml:space="preserve">as a distinct policy measure to address </w:t>
      </w:r>
      <w:r w:rsidR="00F6697F" w:rsidRPr="000844FE">
        <w:rPr>
          <w:rFonts w:cs="Arial"/>
          <w:szCs w:val="24"/>
        </w:rPr>
        <w:t xml:space="preserve">the NSFPR </w:t>
      </w:r>
      <w:r w:rsidR="006C3DF4" w:rsidRPr="000844FE">
        <w:rPr>
          <w:rFonts w:cs="Arial"/>
          <w:szCs w:val="24"/>
        </w:rPr>
        <w:t xml:space="preserve">priority with regards to </w:t>
      </w:r>
      <w:r w:rsidR="006C3DF4" w:rsidRPr="000844FE">
        <w:rPr>
          <w:rFonts w:cs="Arial"/>
          <w:i/>
          <w:szCs w:val="24"/>
        </w:rPr>
        <w:t>a</w:t>
      </w:r>
      <w:r w:rsidR="00512877" w:rsidRPr="000844FE">
        <w:rPr>
          <w:rFonts w:cs="Arial"/>
          <w:i/>
          <w:szCs w:val="24"/>
        </w:rPr>
        <w:t>ccess to</w:t>
      </w:r>
      <w:r w:rsidR="00F6697F" w:rsidRPr="000844FE">
        <w:rPr>
          <w:rFonts w:cs="Arial"/>
          <w:i/>
          <w:szCs w:val="24"/>
        </w:rPr>
        <w:t xml:space="preserve"> affordable and </w:t>
      </w:r>
      <w:r w:rsidR="00F50E2F" w:rsidRPr="000844FE">
        <w:rPr>
          <w:rFonts w:cs="Arial"/>
          <w:i/>
          <w:szCs w:val="24"/>
        </w:rPr>
        <w:t>high-quality</w:t>
      </w:r>
      <w:r w:rsidR="00F6697F" w:rsidRPr="000844FE">
        <w:rPr>
          <w:rFonts w:cs="Arial"/>
          <w:i/>
          <w:szCs w:val="24"/>
        </w:rPr>
        <w:t xml:space="preserve"> services</w:t>
      </w:r>
      <w:r w:rsidR="00112AE1">
        <w:rPr>
          <w:rFonts w:cs="Arial"/>
          <w:i/>
          <w:szCs w:val="24"/>
        </w:rPr>
        <w:t>.</w:t>
      </w:r>
      <w:r w:rsidR="00512877" w:rsidRPr="000844FE">
        <w:rPr>
          <w:rStyle w:val="FootnoteReference"/>
          <w:rFonts w:cs="Arial"/>
          <w:sz w:val="24"/>
          <w:szCs w:val="24"/>
        </w:rPr>
        <w:footnoteReference w:id="33"/>
      </w:r>
      <w:r w:rsidR="000E20F9" w:rsidRPr="000844FE">
        <w:rPr>
          <w:rFonts w:cs="Arial"/>
          <w:szCs w:val="24"/>
        </w:rPr>
        <w:t xml:space="preserve"> </w:t>
      </w:r>
      <w:r w:rsidR="000E20F9" w:rsidRPr="000844FE">
        <w:rPr>
          <w:rFonts w:cs="Arial"/>
          <w:szCs w:val="24"/>
        </w:rPr>
        <w:lastRenderedPageBreak/>
        <w:t>(please see below sections 2.2 to</w:t>
      </w:r>
      <w:r w:rsidR="00990CD4" w:rsidRPr="000844FE">
        <w:rPr>
          <w:rFonts w:cs="Arial"/>
          <w:szCs w:val="24"/>
        </w:rPr>
        <w:t xml:space="preserve"> </w:t>
      </w:r>
      <w:r w:rsidR="000E20F9" w:rsidRPr="000844FE">
        <w:rPr>
          <w:rFonts w:cs="Arial"/>
          <w:szCs w:val="24"/>
        </w:rPr>
        <w:t>2.4 for further details</w:t>
      </w:r>
      <w:r w:rsidR="00826A62" w:rsidRPr="000844FE">
        <w:rPr>
          <w:rFonts w:cs="Arial"/>
          <w:szCs w:val="24"/>
        </w:rPr>
        <w:t xml:space="preserve"> on the project description and </w:t>
      </w:r>
      <w:r w:rsidR="000349A6" w:rsidRPr="000844FE">
        <w:rPr>
          <w:rFonts w:cs="Arial"/>
          <w:szCs w:val="24"/>
        </w:rPr>
        <w:t xml:space="preserve">progress of </w:t>
      </w:r>
      <w:r w:rsidR="00826A62" w:rsidRPr="000844FE">
        <w:rPr>
          <w:rFonts w:cs="Arial"/>
          <w:szCs w:val="24"/>
        </w:rPr>
        <w:t>implementation</w:t>
      </w:r>
      <w:r w:rsidR="000E20F9" w:rsidRPr="000844FE">
        <w:rPr>
          <w:rFonts w:cs="Arial"/>
          <w:szCs w:val="24"/>
        </w:rPr>
        <w:t>).</w:t>
      </w:r>
      <w:r w:rsidR="00BA6AEC" w:rsidRPr="000844FE">
        <w:rPr>
          <w:rFonts w:cs="Arial"/>
          <w:szCs w:val="24"/>
        </w:rPr>
        <w:t xml:space="preserve"> </w:t>
      </w:r>
    </w:p>
    <w:p w14:paraId="6A3BC208" w14:textId="77777777" w:rsidR="00F50E2F" w:rsidRPr="000844FE" w:rsidRDefault="00F50E2F" w:rsidP="000844FE">
      <w:pPr>
        <w:rPr>
          <w:rFonts w:cs="Arial"/>
          <w:szCs w:val="24"/>
        </w:rPr>
      </w:pPr>
    </w:p>
    <w:p w14:paraId="6F8E7C59" w14:textId="5351993B" w:rsidR="00647DE8" w:rsidRPr="000844FE" w:rsidRDefault="00ED6A9A" w:rsidP="00112AE1">
      <w:pPr>
        <w:pStyle w:val="Heading2"/>
      </w:pPr>
      <w:bookmarkStart w:id="15" w:name="_Toc529874061"/>
      <w:bookmarkStart w:id="16" w:name="_Toc7608755"/>
      <w:r w:rsidRPr="000844FE">
        <w:t>What are the a</w:t>
      </w:r>
      <w:r w:rsidR="008E4ACD" w:rsidRPr="000844FE">
        <w:t>ims and objective</w:t>
      </w:r>
      <w:r w:rsidR="00647DE8" w:rsidRPr="000844FE">
        <w:t>s of relevant strategie</w:t>
      </w:r>
      <w:r w:rsidR="006E7253" w:rsidRPr="000844FE">
        <w:t>s, including relevant targets and milestones?</w:t>
      </w:r>
      <w:r w:rsidR="00A76625" w:rsidRPr="000844FE">
        <w:t xml:space="preserve"> Are they linked to ESIF?</w:t>
      </w:r>
      <w:bookmarkEnd w:id="15"/>
      <w:bookmarkEnd w:id="16"/>
    </w:p>
    <w:p w14:paraId="79B93D90" w14:textId="77777777" w:rsidR="002C78B7" w:rsidRPr="000844FE" w:rsidRDefault="002C78B7" w:rsidP="000844FE">
      <w:pPr>
        <w:pStyle w:val="ListParagraph"/>
        <w:ind w:left="0"/>
        <w:rPr>
          <w:rFonts w:cs="Arial"/>
          <w:szCs w:val="24"/>
        </w:rPr>
      </w:pPr>
    </w:p>
    <w:p w14:paraId="783A90CD" w14:textId="4190FA0C" w:rsidR="002C78B7" w:rsidRPr="00112AE1" w:rsidRDefault="002C78B7" w:rsidP="000844FE">
      <w:pPr>
        <w:pStyle w:val="ListParagraph"/>
        <w:ind w:left="0"/>
        <w:rPr>
          <w:rFonts w:cs="Arial"/>
          <w:szCs w:val="24"/>
        </w:rPr>
      </w:pPr>
      <w:r w:rsidRPr="000844FE">
        <w:rPr>
          <w:rFonts w:cs="Arial"/>
          <w:szCs w:val="24"/>
        </w:rPr>
        <w:t xml:space="preserve">The documents referenced </w:t>
      </w:r>
      <w:r w:rsidRPr="00112AE1">
        <w:rPr>
          <w:rFonts w:cs="Arial"/>
          <w:szCs w:val="24"/>
        </w:rPr>
        <w:t>under 2.1 do not include any specific objectives, relevant targets and milestones, or timeframe for completion, for de-institutionalisation</w:t>
      </w:r>
      <w:r w:rsidR="00443C06" w:rsidRPr="00112AE1">
        <w:rPr>
          <w:rFonts w:cs="Arial"/>
          <w:szCs w:val="24"/>
        </w:rPr>
        <w:t xml:space="preserve"> measures</w:t>
      </w:r>
      <w:r w:rsidRPr="00112AE1">
        <w:rPr>
          <w:rFonts w:cs="Arial"/>
          <w:szCs w:val="24"/>
        </w:rPr>
        <w:t>.</w:t>
      </w:r>
    </w:p>
    <w:p w14:paraId="279888B1" w14:textId="77777777" w:rsidR="002C78B7" w:rsidRPr="00112AE1" w:rsidRDefault="002C78B7" w:rsidP="000844FE">
      <w:pPr>
        <w:pStyle w:val="ListParagraph"/>
        <w:ind w:left="0"/>
        <w:rPr>
          <w:rFonts w:cs="Arial"/>
          <w:szCs w:val="24"/>
        </w:rPr>
      </w:pPr>
    </w:p>
    <w:p w14:paraId="666FC34A" w14:textId="4BBA79E7" w:rsidR="009B0267" w:rsidRPr="00112AE1" w:rsidRDefault="002C78B7" w:rsidP="000844FE">
      <w:pPr>
        <w:pStyle w:val="ListParagraph"/>
        <w:ind w:left="0"/>
        <w:rPr>
          <w:rFonts w:cs="Arial"/>
          <w:szCs w:val="24"/>
        </w:rPr>
      </w:pPr>
      <w:r w:rsidRPr="00112AE1">
        <w:rPr>
          <w:rFonts w:cs="Arial"/>
          <w:szCs w:val="24"/>
        </w:rPr>
        <w:t xml:space="preserve">As also pointed out by the </w:t>
      </w:r>
      <w:r w:rsidR="00BE7F48" w:rsidRPr="00112AE1">
        <w:rPr>
          <w:rFonts w:cs="Arial"/>
          <w:szCs w:val="24"/>
        </w:rPr>
        <w:t xml:space="preserve">Community Living for Europe </w:t>
      </w:r>
      <w:r w:rsidRPr="00112AE1">
        <w:rPr>
          <w:rFonts w:cs="Arial"/>
          <w:szCs w:val="24"/>
        </w:rPr>
        <w:t>Structural Funds Watch (2017)</w:t>
      </w:r>
      <w:r w:rsidR="00443C06" w:rsidRPr="00112AE1">
        <w:rPr>
          <w:rFonts w:cs="Arial"/>
          <w:szCs w:val="24"/>
        </w:rPr>
        <w:t>:</w:t>
      </w:r>
      <w:r w:rsidR="000C0047" w:rsidRPr="00112AE1">
        <w:rPr>
          <w:rFonts w:cs="Arial"/>
          <w:szCs w:val="24"/>
        </w:rPr>
        <w:t xml:space="preserve"> “</w:t>
      </w:r>
      <w:r w:rsidR="00443C06" w:rsidRPr="00112AE1">
        <w:rPr>
          <w:rFonts w:cs="Arial"/>
          <w:i/>
          <w:szCs w:val="24"/>
        </w:rPr>
        <w:t>I</w:t>
      </w:r>
      <w:r w:rsidR="009B0267" w:rsidRPr="00112AE1">
        <w:rPr>
          <w:rFonts w:cs="Arial"/>
          <w:i/>
          <w:szCs w:val="24"/>
        </w:rPr>
        <w:t xml:space="preserve">n </w:t>
      </w:r>
      <w:r w:rsidR="000C0047" w:rsidRPr="00112AE1">
        <w:rPr>
          <w:rFonts w:cs="Arial"/>
          <w:i/>
          <w:szCs w:val="24"/>
        </w:rPr>
        <w:t>(</w:t>
      </w:r>
      <w:r w:rsidR="009B0267" w:rsidRPr="00112AE1">
        <w:rPr>
          <w:rFonts w:cs="Arial"/>
          <w:i/>
          <w:szCs w:val="24"/>
        </w:rPr>
        <w:t>Poland, Estonia and</w:t>
      </w:r>
      <w:r w:rsidR="000C0047" w:rsidRPr="00112AE1">
        <w:rPr>
          <w:rFonts w:cs="Arial"/>
          <w:i/>
          <w:szCs w:val="24"/>
        </w:rPr>
        <w:t>)</w:t>
      </w:r>
      <w:r w:rsidR="009B0267" w:rsidRPr="00112AE1">
        <w:rPr>
          <w:rFonts w:cs="Arial"/>
          <w:i/>
          <w:szCs w:val="24"/>
        </w:rPr>
        <w:t xml:space="preserve"> Greece relevant measures included in the NSPFs are not currently framed within any specific strategies or plans concerning the transition to community-based care</w:t>
      </w:r>
      <w:r w:rsidR="00112AE1" w:rsidRPr="00112AE1">
        <w:rPr>
          <w:rFonts w:cs="Arial"/>
          <w:i/>
          <w:szCs w:val="24"/>
        </w:rPr>
        <w:t>.</w:t>
      </w:r>
      <w:r w:rsidR="000C0047" w:rsidRPr="00112AE1">
        <w:rPr>
          <w:rFonts w:cs="Arial"/>
          <w:i/>
          <w:szCs w:val="24"/>
        </w:rPr>
        <w:t>”</w:t>
      </w:r>
      <w:r w:rsidR="009B0267" w:rsidRPr="00112AE1">
        <w:rPr>
          <w:rStyle w:val="FootnoteReference"/>
          <w:rFonts w:cs="Arial"/>
          <w:i/>
          <w:sz w:val="24"/>
          <w:szCs w:val="24"/>
        </w:rPr>
        <w:footnoteReference w:id="34"/>
      </w:r>
      <w:r w:rsidR="000C0047" w:rsidRPr="00112AE1">
        <w:rPr>
          <w:rFonts w:cs="Arial"/>
          <w:szCs w:val="24"/>
        </w:rPr>
        <w:t xml:space="preserve"> Similarly,</w:t>
      </w:r>
      <w:r w:rsidR="00443C06" w:rsidRPr="00112AE1">
        <w:rPr>
          <w:rFonts w:cs="Arial"/>
          <w:szCs w:val="24"/>
        </w:rPr>
        <w:t xml:space="preserve"> the Fundamental Rights Agency (2017) points out that:</w:t>
      </w:r>
      <w:r w:rsidR="000C0047" w:rsidRPr="00112AE1">
        <w:rPr>
          <w:rFonts w:cs="Arial"/>
          <w:szCs w:val="24"/>
        </w:rPr>
        <w:t xml:space="preserve"> </w:t>
      </w:r>
      <w:r w:rsidR="00443C06" w:rsidRPr="00112AE1">
        <w:rPr>
          <w:rFonts w:cs="Arial"/>
          <w:szCs w:val="24"/>
        </w:rPr>
        <w:t>“</w:t>
      </w:r>
      <w:r w:rsidR="000C0047" w:rsidRPr="00112AE1">
        <w:rPr>
          <w:rFonts w:cs="Arial"/>
          <w:i/>
          <w:szCs w:val="24"/>
        </w:rPr>
        <w:t>Partnership agreements with Greece (and Spain) refer to deinstitutionalisation but remain vague about specific activities in support of the transition process</w:t>
      </w:r>
      <w:r w:rsidR="00443C06" w:rsidRPr="00112AE1">
        <w:rPr>
          <w:rFonts w:cs="Arial"/>
          <w:i/>
          <w:szCs w:val="24"/>
        </w:rPr>
        <w:t>”</w:t>
      </w:r>
      <w:r w:rsidR="000C0047" w:rsidRPr="00112AE1">
        <w:rPr>
          <w:rFonts w:cs="Arial"/>
          <w:i/>
          <w:szCs w:val="24"/>
        </w:rPr>
        <w:t>.</w:t>
      </w:r>
      <w:r w:rsidR="000C0047" w:rsidRPr="00112AE1">
        <w:rPr>
          <w:rStyle w:val="FootnoteReference"/>
          <w:rFonts w:cs="Arial"/>
          <w:i/>
          <w:sz w:val="24"/>
          <w:szCs w:val="24"/>
        </w:rPr>
        <w:footnoteReference w:id="35"/>
      </w:r>
    </w:p>
    <w:p w14:paraId="344ECE80" w14:textId="7EFF6EE8" w:rsidR="008E4ACD" w:rsidRPr="000844FE" w:rsidRDefault="008E4ACD" w:rsidP="00112AE1"/>
    <w:p w14:paraId="4E54CBC2" w14:textId="57FF848D" w:rsidR="008E4ACD" w:rsidRPr="000844FE" w:rsidRDefault="00647DE8" w:rsidP="00112AE1">
      <w:pPr>
        <w:pStyle w:val="Heading2"/>
      </w:pPr>
      <w:bookmarkStart w:id="17" w:name="_Toc529874062"/>
      <w:bookmarkStart w:id="18" w:name="_Toc7608756"/>
      <w:r w:rsidRPr="000844FE">
        <w:t>Please s</w:t>
      </w:r>
      <w:r w:rsidR="008E4ACD" w:rsidRPr="000844FE">
        <w:t>ummar</w:t>
      </w:r>
      <w:r w:rsidRPr="000844FE">
        <w:t>ise</w:t>
      </w:r>
      <w:r w:rsidR="008E4ACD" w:rsidRPr="000844FE">
        <w:t xml:space="preserve"> the planned approach and </w:t>
      </w:r>
      <w:r w:rsidRPr="000844FE">
        <w:t xml:space="preserve">the </w:t>
      </w:r>
      <w:r w:rsidR="008E4ACD" w:rsidRPr="000844FE">
        <w:t>actions to be take</w:t>
      </w:r>
      <w:r w:rsidRPr="000844FE">
        <w:t>n in relevant strategies</w:t>
      </w:r>
      <w:bookmarkEnd w:id="17"/>
      <w:bookmarkEnd w:id="18"/>
    </w:p>
    <w:p w14:paraId="151D1FC1" w14:textId="008CEEFE" w:rsidR="000C0047" w:rsidRPr="000844FE" w:rsidRDefault="000C0047" w:rsidP="00112AE1"/>
    <w:p w14:paraId="3E70ED36" w14:textId="35ACBBB1" w:rsidR="003C78B7" w:rsidRPr="000844FE" w:rsidRDefault="003910EC" w:rsidP="000844FE">
      <w:pPr>
        <w:rPr>
          <w:rFonts w:cs="Arial"/>
          <w:szCs w:val="24"/>
        </w:rPr>
      </w:pPr>
      <w:r w:rsidRPr="000844FE">
        <w:rPr>
          <w:rFonts w:cs="Arial"/>
          <w:szCs w:val="24"/>
        </w:rPr>
        <w:t>The Strategy of the Region of</w:t>
      </w:r>
      <w:r w:rsidR="00267087" w:rsidRPr="000844FE">
        <w:rPr>
          <w:rFonts w:cs="Arial"/>
          <w:szCs w:val="24"/>
        </w:rPr>
        <w:t xml:space="preserve"> Attika is the only</w:t>
      </w:r>
      <w:r w:rsidRPr="000844FE">
        <w:rPr>
          <w:rFonts w:cs="Arial"/>
          <w:szCs w:val="24"/>
        </w:rPr>
        <w:t xml:space="preserve"> document</w:t>
      </w:r>
      <w:r w:rsidR="00267087" w:rsidRPr="000844FE">
        <w:rPr>
          <w:rFonts w:cs="Arial"/>
          <w:szCs w:val="24"/>
        </w:rPr>
        <w:t xml:space="preserve"> available</w:t>
      </w:r>
      <w:r w:rsidR="00042D69" w:rsidRPr="000844FE">
        <w:rPr>
          <w:rFonts w:cs="Arial"/>
          <w:szCs w:val="24"/>
        </w:rPr>
        <w:t xml:space="preserve"> </w:t>
      </w:r>
      <w:r w:rsidR="00267087" w:rsidRPr="000844FE">
        <w:rPr>
          <w:rFonts w:cs="Arial"/>
          <w:szCs w:val="24"/>
        </w:rPr>
        <w:t>that</w:t>
      </w:r>
      <w:r w:rsidR="00A81D5E" w:rsidRPr="000844FE">
        <w:rPr>
          <w:rFonts w:cs="Arial"/>
          <w:szCs w:val="24"/>
        </w:rPr>
        <w:t xml:space="preserve"> addresses</w:t>
      </w:r>
      <w:r w:rsidRPr="000844FE">
        <w:rPr>
          <w:rFonts w:cs="Arial"/>
          <w:szCs w:val="24"/>
        </w:rPr>
        <w:t xml:space="preserve"> de-institutionalisation</w:t>
      </w:r>
      <w:r w:rsidR="00A81D5E" w:rsidRPr="000844FE">
        <w:rPr>
          <w:rFonts w:cs="Arial"/>
          <w:szCs w:val="24"/>
        </w:rPr>
        <w:t xml:space="preserve"> as a distinct policy measure</w:t>
      </w:r>
      <w:r w:rsidR="004C312A" w:rsidRPr="000844FE">
        <w:rPr>
          <w:rFonts w:cs="Arial"/>
          <w:szCs w:val="24"/>
        </w:rPr>
        <w:t xml:space="preserve">, simultaneously </w:t>
      </w:r>
      <w:r w:rsidR="00AE1ACA" w:rsidRPr="000844FE">
        <w:rPr>
          <w:rFonts w:cs="Arial"/>
          <w:szCs w:val="24"/>
        </w:rPr>
        <w:t xml:space="preserve">linked with the use of ESIF, </w:t>
      </w:r>
      <w:r w:rsidRPr="000844FE">
        <w:rPr>
          <w:rFonts w:cs="Arial"/>
          <w:szCs w:val="24"/>
        </w:rPr>
        <w:t xml:space="preserve">nevertheless there is little, if any, </w:t>
      </w:r>
      <w:r w:rsidR="006642AA" w:rsidRPr="000844FE">
        <w:rPr>
          <w:rFonts w:cs="Arial"/>
          <w:szCs w:val="24"/>
        </w:rPr>
        <w:t xml:space="preserve">elaboration </w:t>
      </w:r>
      <w:r w:rsidR="008069A1" w:rsidRPr="000844FE">
        <w:rPr>
          <w:rFonts w:cs="Arial"/>
          <w:szCs w:val="24"/>
        </w:rPr>
        <w:t>with regards to transition</w:t>
      </w:r>
      <w:r w:rsidR="006642AA" w:rsidRPr="000844FE">
        <w:rPr>
          <w:rFonts w:cs="Arial"/>
          <w:szCs w:val="24"/>
        </w:rPr>
        <w:t xml:space="preserve"> from institutional care</w:t>
      </w:r>
      <w:r w:rsidR="008069A1" w:rsidRPr="000844FE">
        <w:rPr>
          <w:rFonts w:cs="Arial"/>
          <w:szCs w:val="24"/>
        </w:rPr>
        <w:t xml:space="preserve"> to </w:t>
      </w:r>
      <w:r w:rsidR="00F50E2F" w:rsidRPr="000844FE">
        <w:rPr>
          <w:rFonts w:cs="Arial"/>
          <w:szCs w:val="24"/>
        </w:rPr>
        <w:t>community-based</w:t>
      </w:r>
      <w:r w:rsidR="008069A1" w:rsidRPr="000844FE">
        <w:rPr>
          <w:rFonts w:cs="Arial"/>
          <w:szCs w:val="24"/>
        </w:rPr>
        <w:t xml:space="preserve"> services</w:t>
      </w:r>
      <w:r w:rsidR="006642AA" w:rsidRPr="000844FE">
        <w:rPr>
          <w:rFonts w:cs="Arial"/>
          <w:szCs w:val="24"/>
        </w:rPr>
        <w:t xml:space="preserve"> for children and mental health inpatients</w:t>
      </w:r>
      <w:r w:rsidR="00A21B38" w:rsidRPr="000844FE">
        <w:rPr>
          <w:rFonts w:cs="Arial"/>
          <w:szCs w:val="24"/>
        </w:rPr>
        <w:t>, as specifically noted</w:t>
      </w:r>
      <w:r w:rsidR="00112AE1">
        <w:rPr>
          <w:rFonts w:cs="Arial"/>
          <w:szCs w:val="24"/>
        </w:rPr>
        <w:t>.</w:t>
      </w:r>
      <w:r w:rsidRPr="000844FE">
        <w:rPr>
          <w:rStyle w:val="FootnoteReference"/>
          <w:rFonts w:cs="Arial"/>
          <w:sz w:val="24"/>
          <w:szCs w:val="24"/>
        </w:rPr>
        <w:footnoteReference w:id="36"/>
      </w:r>
      <w:r w:rsidR="008069A1" w:rsidRPr="000844FE">
        <w:rPr>
          <w:rFonts w:cs="Arial"/>
          <w:szCs w:val="24"/>
        </w:rPr>
        <w:t xml:space="preserve"> </w:t>
      </w:r>
    </w:p>
    <w:p w14:paraId="3385CA4A" w14:textId="77777777" w:rsidR="003C78B7" w:rsidRPr="000844FE" w:rsidRDefault="003C78B7" w:rsidP="000844FE">
      <w:pPr>
        <w:rPr>
          <w:rFonts w:cs="Arial"/>
          <w:szCs w:val="24"/>
        </w:rPr>
      </w:pPr>
    </w:p>
    <w:p w14:paraId="0374BC72" w14:textId="0ADE529A" w:rsidR="006460AC" w:rsidRPr="000844FE" w:rsidRDefault="008069A1" w:rsidP="000844FE">
      <w:pPr>
        <w:rPr>
          <w:rFonts w:cs="Arial"/>
          <w:szCs w:val="24"/>
        </w:rPr>
      </w:pPr>
      <w:r w:rsidRPr="000844FE">
        <w:rPr>
          <w:rFonts w:cs="Arial"/>
          <w:szCs w:val="24"/>
        </w:rPr>
        <w:t xml:space="preserve">At the same time, </w:t>
      </w:r>
      <w:r w:rsidRPr="000844FE">
        <w:rPr>
          <w:rFonts w:cs="Arial"/>
          <w:b/>
          <w:szCs w:val="24"/>
        </w:rPr>
        <w:t xml:space="preserve">enhancing the infrastructure and programs of institutions is </w:t>
      </w:r>
      <w:r w:rsidR="006642AA" w:rsidRPr="000844FE">
        <w:rPr>
          <w:rFonts w:cs="Arial"/>
          <w:b/>
          <w:szCs w:val="24"/>
        </w:rPr>
        <w:t>outlined as a co-existing measure</w:t>
      </w:r>
      <w:r w:rsidR="005B6570" w:rsidRPr="000844FE">
        <w:rPr>
          <w:rFonts w:cs="Arial"/>
          <w:szCs w:val="24"/>
        </w:rPr>
        <w:t xml:space="preserve">. </w:t>
      </w:r>
      <w:r w:rsidR="002F47AC" w:rsidRPr="000844FE">
        <w:rPr>
          <w:rFonts w:cs="Arial"/>
          <w:szCs w:val="24"/>
        </w:rPr>
        <w:t xml:space="preserve">That effectively means channelling </w:t>
      </w:r>
      <w:r w:rsidR="004B1C97" w:rsidRPr="000844FE">
        <w:rPr>
          <w:rFonts w:cs="Arial"/>
          <w:szCs w:val="24"/>
        </w:rPr>
        <w:t xml:space="preserve">EU structural funds </w:t>
      </w:r>
      <w:r w:rsidR="002F47AC" w:rsidRPr="000844FE">
        <w:rPr>
          <w:rFonts w:cs="Arial"/>
          <w:szCs w:val="24"/>
        </w:rPr>
        <w:t xml:space="preserve">investment to institutions, which is contrary to the </w:t>
      </w:r>
      <w:r w:rsidR="004B1C97" w:rsidRPr="000844FE">
        <w:rPr>
          <w:rFonts w:cs="Arial"/>
          <w:szCs w:val="24"/>
        </w:rPr>
        <w:t xml:space="preserve">relevant </w:t>
      </w:r>
      <w:r w:rsidR="002F47AC" w:rsidRPr="000844FE">
        <w:rPr>
          <w:rFonts w:cs="Arial"/>
          <w:szCs w:val="24"/>
        </w:rPr>
        <w:t xml:space="preserve">ESIF ex-ante </w:t>
      </w:r>
      <w:r w:rsidR="004B1C97" w:rsidRPr="000844FE">
        <w:rPr>
          <w:rFonts w:cs="Arial"/>
          <w:szCs w:val="24"/>
        </w:rPr>
        <w:t>conditionality</w:t>
      </w:r>
      <w:r w:rsidR="002F47AC" w:rsidRPr="000844FE">
        <w:rPr>
          <w:rFonts w:cs="Arial"/>
          <w:szCs w:val="24"/>
        </w:rPr>
        <w:t xml:space="preserve">. </w:t>
      </w:r>
    </w:p>
    <w:p w14:paraId="67BAE1AA" w14:textId="77777777" w:rsidR="006460AC" w:rsidRPr="000844FE" w:rsidRDefault="006460AC" w:rsidP="000844FE">
      <w:pPr>
        <w:rPr>
          <w:rFonts w:cs="Arial"/>
          <w:szCs w:val="24"/>
        </w:rPr>
      </w:pPr>
    </w:p>
    <w:p w14:paraId="70F50BCC" w14:textId="1ABB155E" w:rsidR="00F773C8" w:rsidRPr="000844FE" w:rsidRDefault="006460AC" w:rsidP="000844FE">
      <w:pPr>
        <w:rPr>
          <w:rFonts w:cs="Arial"/>
          <w:szCs w:val="24"/>
        </w:rPr>
      </w:pPr>
      <w:r w:rsidRPr="000844FE">
        <w:rPr>
          <w:rFonts w:cs="Arial"/>
          <w:szCs w:val="24"/>
        </w:rPr>
        <w:t>There are additionally</w:t>
      </w:r>
      <w:r w:rsidR="006642AA" w:rsidRPr="000844FE">
        <w:rPr>
          <w:rFonts w:cs="Arial"/>
          <w:szCs w:val="24"/>
        </w:rPr>
        <w:t xml:space="preserve"> plans for expanding Supported Living Shelters for Persons with Disabilities,</w:t>
      </w:r>
      <w:r w:rsidR="008360C4" w:rsidRPr="000844FE">
        <w:rPr>
          <w:rFonts w:cs="Arial"/>
          <w:szCs w:val="24"/>
        </w:rPr>
        <w:t xml:space="preserve"> and other shelter types </w:t>
      </w:r>
      <w:r w:rsidRPr="000844FE">
        <w:rPr>
          <w:rFonts w:cs="Arial"/>
          <w:szCs w:val="24"/>
        </w:rPr>
        <w:t xml:space="preserve">which are not however specified, while the Strategy foresees </w:t>
      </w:r>
      <w:r w:rsidR="00F773C8" w:rsidRPr="000844FE">
        <w:rPr>
          <w:rFonts w:cs="Arial"/>
          <w:szCs w:val="24"/>
        </w:rPr>
        <w:t xml:space="preserve">the continuation of </w:t>
      </w:r>
      <w:r w:rsidR="00F50E2F" w:rsidRPr="000844FE">
        <w:rPr>
          <w:rFonts w:cs="Arial"/>
          <w:szCs w:val="24"/>
        </w:rPr>
        <w:t>community-based</w:t>
      </w:r>
      <w:r w:rsidR="00F773C8" w:rsidRPr="000844FE">
        <w:rPr>
          <w:rFonts w:cs="Arial"/>
          <w:szCs w:val="24"/>
        </w:rPr>
        <w:t xml:space="preserve"> service provision in </w:t>
      </w:r>
      <w:r w:rsidR="00EA653C" w:rsidRPr="000844FE">
        <w:rPr>
          <w:rFonts w:cs="Arial"/>
          <w:szCs w:val="24"/>
        </w:rPr>
        <w:t>day care cen</w:t>
      </w:r>
      <w:r w:rsidR="005A70F6" w:rsidRPr="000844FE">
        <w:rPr>
          <w:rFonts w:cs="Arial"/>
          <w:szCs w:val="24"/>
        </w:rPr>
        <w:t>tres</w:t>
      </w:r>
      <w:r w:rsidR="00F773C8" w:rsidRPr="000844FE">
        <w:rPr>
          <w:rFonts w:cs="Arial"/>
          <w:szCs w:val="24"/>
        </w:rPr>
        <w:t xml:space="preserve"> for children and adults with disabilities</w:t>
      </w:r>
      <w:r w:rsidRPr="000844FE">
        <w:rPr>
          <w:rFonts w:cs="Arial"/>
          <w:szCs w:val="24"/>
        </w:rPr>
        <w:t>.</w:t>
      </w:r>
    </w:p>
    <w:p w14:paraId="45335338" w14:textId="77777777" w:rsidR="00F773C8" w:rsidRPr="000844FE" w:rsidRDefault="00F773C8" w:rsidP="000844FE">
      <w:pPr>
        <w:rPr>
          <w:rFonts w:cs="Arial"/>
          <w:szCs w:val="24"/>
        </w:rPr>
      </w:pPr>
    </w:p>
    <w:p w14:paraId="7EB61E52" w14:textId="2E8F3F7D" w:rsidR="003910EC" w:rsidRPr="000844FE" w:rsidRDefault="00C03E15" w:rsidP="000844FE">
      <w:pPr>
        <w:rPr>
          <w:rFonts w:cs="Arial"/>
          <w:szCs w:val="24"/>
        </w:rPr>
      </w:pPr>
      <w:r w:rsidRPr="000844FE">
        <w:rPr>
          <w:rFonts w:cs="Arial"/>
          <w:szCs w:val="24"/>
        </w:rPr>
        <w:t>F</w:t>
      </w:r>
      <w:r w:rsidR="005A70F6" w:rsidRPr="000844FE">
        <w:rPr>
          <w:rFonts w:cs="Arial"/>
          <w:szCs w:val="24"/>
        </w:rPr>
        <w:t>inally,</w:t>
      </w:r>
      <w:r w:rsidRPr="000844FE">
        <w:rPr>
          <w:rFonts w:cs="Arial"/>
          <w:szCs w:val="24"/>
        </w:rPr>
        <w:t xml:space="preserve"> </w:t>
      </w:r>
      <w:r w:rsidR="005A70F6" w:rsidRPr="000844FE">
        <w:rPr>
          <w:rFonts w:cs="Arial"/>
          <w:szCs w:val="24"/>
        </w:rPr>
        <w:t>promoting personal assistance schemes</w:t>
      </w:r>
      <w:r w:rsidRPr="000844FE">
        <w:rPr>
          <w:rFonts w:cs="Arial"/>
          <w:szCs w:val="24"/>
        </w:rPr>
        <w:t xml:space="preserve"> is an additional measure outlined, however no further details </w:t>
      </w:r>
      <w:r w:rsidR="00FE59E7" w:rsidRPr="000844FE">
        <w:rPr>
          <w:rFonts w:cs="Arial"/>
          <w:szCs w:val="24"/>
        </w:rPr>
        <w:t xml:space="preserve">are included </w:t>
      </w:r>
      <w:r w:rsidRPr="000844FE">
        <w:rPr>
          <w:rFonts w:cs="Arial"/>
          <w:szCs w:val="24"/>
        </w:rPr>
        <w:t>as t</w:t>
      </w:r>
      <w:r w:rsidR="00FE59E7" w:rsidRPr="000844FE">
        <w:rPr>
          <w:rFonts w:cs="Arial"/>
          <w:szCs w:val="24"/>
        </w:rPr>
        <w:t>o necessary actions for implementation</w:t>
      </w:r>
      <w:r w:rsidRPr="000844FE">
        <w:rPr>
          <w:rFonts w:cs="Arial"/>
          <w:szCs w:val="24"/>
        </w:rPr>
        <w:t xml:space="preserve">. </w:t>
      </w:r>
      <w:r w:rsidR="007A1C3B" w:rsidRPr="000844FE">
        <w:rPr>
          <w:rFonts w:cs="Arial"/>
          <w:szCs w:val="24"/>
        </w:rPr>
        <w:t>P</w:t>
      </w:r>
      <w:r w:rsidR="003C78B7" w:rsidRPr="000844FE">
        <w:rPr>
          <w:rFonts w:cs="Arial"/>
          <w:szCs w:val="24"/>
        </w:rPr>
        <w:t>ractice to date has</w:t>
      </w:r>
      <w:r w:rsidR="007A1C3B" w:rsidRPr="000844FE">
        <w:rPr>
          <w:rFonts w:cs="Arial"/>
          <w:szCs w:val="24"/>
        </w:rPr>
        <w:t xml:space="preserve"> rather</w:t>
      </w:r>
      <w:r w:rsidR="003C78B7" w:rsidRPr="000844FE">
        <w:rPr>
          <w:rFonts w:cs="Arial"/>
          <w:szCs w:val="24"/>
        </w:rPr>
        <w:t xml:space="preserve"> shown very limited steps towards more innovative models of co</w:t>
      </w:r>
      <w:r w:rsidR="00356D34" w:rsidRPr="000844FE">
        <w:rPr>
          <w:rFonts w:cs="Arial"/>
          <w:szCs w:val="24"/>
        </w:rPr>
        <w:t>mmunity-based service provision, including unjustified delay in implementing de-</w:t>
      </w:r>
      <w:r w:rsidR="00356D34" w:rsidRPr="000844FE">
        <w:rPr>
          <w:rFonts w:cs="Arial"/>
          <w:szCs w:val="24"/>
        </w:rPr>
        <w:lastRenderedPageBreak/>
        <w:t xml:space="preserve">institutionalisation actions already approved </w:t>
      </w:r>
      <w:r w:rsidR="003C78B7" w:rsidRPr="000844FE">
        <w:rPr>
          <w:rFonts w:cs="Arial"/>
          <w:szCs w:val="24"/>
        </w:rPr>
        <w:t>(please see section 3 for further details on implementation).</w:t>
      </w:r>
      <w:r w:rsidR="00DE0B12">
        <w:rPr>
          <w:rFonts w:cs="Arial"/>
          <w:szCs w:val="24"/>
        </w:rPr>
        <w:t xml:space="preserve"> </w:t>
      </w:r>
    </w:p>
    <w:p w14:paraId="1020930F" w14:textId="77777777" w:rsidR="008E4ACD" w:rsidRPr="000844FE" w:rsidRDefault="008E4ACD" w:rsidP="0017733F"/>
    <w:p w14:paraId="45C5F114" w14:textId="1F5D6AE5" w:rsidR="00716B20" w:rsidRPr="000844FE" w:rsidRDefault="00716B20" w:rsidP="00112AE1">
      <w:pPr>
        <w:pStyle w:val="Heading2"/>
      </w:pPr>
      <w:bookmarkStart w:id="19" w:name="_Toc529874063"/>
      <w:bookmarkStart w:id="20" w:name="_Toc7608757"/>
      <w:r w:rsidRPr="000844FE">
        <w:t>What budgetary commitments are made to support these strategies, both for domestic and EU funds?</w:t>
      </w:r>
      <w:bookmarkEnd w:id="19"/>
      <w:bookmarkEnd w:id="20"/>
    </w:p>
    <w:p w14:paraId="5AD97E5A" w14:textId="79B12372" w:rsidR="008E4ACD" w:rsidRPr="000844FE" w:rsidRDefault="008E4ACD" w:rsidP="00112AE1"/>
    <w:p w14:paraId="717EF315" w14:textId="63D2D539" w:rsidR="003F1E0B" w:rsidRPr="000844FE" w:rsidRDefault="00112AE1" w:rsidP="000844FE">
      <w:pPr>
        <w:rPr>
          <w:rFonts w:cs="Arial"/>
          <w:szCs w:val="24"/>
        </w:rPr>
      </w:pPr>
      <w:r>
        <w:rPr>
          <w:rFonts w:cs="Arial"/>
          <w:szCs w:val="24"/>
        </w:rPr>
        <w:t xml:space="preserve">EUR </w:t>
      </w:r>
      <w:r w:rsidR="003F1E0B" w:rsidRPr="000844FE">
        <w:rPr>
          <w:rFonts w:cs="Arial"/>
          <w:szCs w:val="24"/>
        </w:rPr>
        <w:t xml:space="preserve">235 million is reportedly available in Greece for the 2014-2020 ESIF period to support the transition from institutional care to </w:t>
      </w:r>
      <w:r w:rsidR="00F50E2F" w:rsidRPr="000844FE">
        <w:rPr>
          <w:rFonts w:cs="Arial"/>
          <w:szCs w:val="24"/>
        </w:rPr>
        <w:t>community-based</w:t>
      </w:r>
      <w:r w:rsidR="003F1E0B" w:rsidRPr="000844FE">
        <w:rPr>
          <w:rFonts w:cs="Arial"/>
          <w:szCs w:val="24"/>
        </w:rPr>
        <w:t xml:space="preserve"> living</w:t>
      </w:r>
      <w:r w:rsidR="00A21B38" w:rsidRPr="000844FE">
        <w:rPr>
          <w:rFonts w:cs="Arial"/>
          <w:szCs w:val="24"/>
        </w:rPr>
        <w:t>.</w:t>
      </w:r>
      <w:r w:rsidR="0050106B" w:rsidRPr="000844FE">
        <w:rPr>
          <w:rFonts w:cs="Arial"/>
          <w:szCs w:val="24"/>
        </w:rPr>
        <w:t xml:space="preserve"> Civil society organisations have advised that few calls for proposals have been launched and no substantive projects have started as of September 2017</w:t>
      </w:r>
      <w:r>
        <w:rPr>
          <w:rFonts w:cs="Arial"/>
          <w:szCs w:val="24"/>
        </w:rPr>
        <w:t>.</w:t>
      </w:r>
      <w:r w:rsidR="0050106B" w:rsidRPr="000844FE">
        <w:rPr>
          <w:rStyle w:val="FootnoteReference"/>
          <w:rFonts w:eastAsiaTheme="majorEastAsia" w:cs="Arial"/>
          <w:sz w:val="24"/>
          <w:szCs w:val="24"/>
        </w:rPr>
        <w:footnoteReference w:id="37"/>
      </w:r>
    </w:p>
    <w:p w14:paraId="63967ABB" w14:textId="375B4E55" w:rsidR="001200A4" w:rsidRPr="000844FE" w:rsidRDefault="001200A4" w:rsidP="000844FE">
      <w:pPr>
        <w:rPr>
          <w:rFonts w:cs="Arial"/>
          <w:szCs w:val="24"/>
        </w:rPr>
      </w:pPr>
    </w:p>
    <w:p w14:paraId="3763674D" w14:textId="14C574F3" w:rsidR="00A21B38" w:rsidRPr="000844FE" w:rsidRDefault="001200A4" w:rsidP="000844FE">
      <w:pPr>
        <w:rPr>
          <w:rFonts w:cs="Arial"/>
          <w:szCs w:val="24"/>
        </w:rPr>
      </w:pPr>
      <w:r w:rsidRPr="000844FE">
        <w:rPr>
          <w:rFonts w:cs="Arial"/>
          <w:szCs w:val="24"/>
        </w:rPr>
        <w:t>Civil society organisations have expressed concern that, given the lack of a specific deinstitutionalisation strategy or plan, this funding will not be spent on deinstitutionalisation and may be redirected toward other priorities or misused to support institutional care</w:t>
      </w:r>
      <w:r w:rsidR="00112AE1">
        <w:rPr>
          <w:rFonts w:cs="Arial"/>
          <w:szCs w:val="24"/>
        </w:rPr>
        <w:t>.</w:t>
      </w:r>
      <w:r w:rsidRPr="000844FE">
        <w:rPr>
          <w:rStyle w:val="FootnoteReference"/>
          <w:rFonts w:cs="Arial"/>
          <w:sz w:val="24"/>
          <w:szCs w:val="24"/>
        </w:rPr>
        <w:footnoteReference w:id="38"/>
      </w:r>
    </w:p>
    <w:p w14:paraId="0E097F65" w14:textId="77777777" w:rsidR="00A21B38" w:rsidRPr="000844FE" w:rsidRDefault="00A21B38" w:rsidP="000844FE">
      <w:pPr>
        <w:rPr>
          <w:rFonts w:cs="Arial"/>
          <w:szCs w:val="24"/>
        </w:rPr>
      </w:pPr>
    </w:p>
    <w:p w14:paraId="6A07CDB8" w14:textId="6857F0FA" w:rsidR="00A21B38" w:rsidRPr="000844FE" w:rsidRDefault="0085185B" w:rsidP="000844FE">
      <w:pPr>
        <w:rPr>
          <w:rFonts w:cs="Arial"/>
          <w:szCs w:val="24"/>
        </w:rPr>
      </w:pPr>
      <w:r w:rsidRPr="000844FE">
        <w:rPr>
          <w:rFonts w:cs="Arial"/>
          <w:szCs w:val="24"/>
        </w:rPr>
        <w:t>Particularly linked to the strategic pla</w:t>
      </w:r>
      <w:r w:rsidR="005D07DC" w:rsidRPr="000844FE">
        <w:rPr>
          <w:rFonts w:cs="Arial"/>
          <w:szCs w:val="24"/>
        </w:rPr>
        <w:t>n for poverty reduction of the R</w:t>
      </w:r>
      <w:r w:rsidRPr="000844FE">
        <w:rPr>
          <w:rFonts w:cs="Arial"/>
          <w:szCs w:val="24"/>
        </w:rPr>
        <w:t xml:space="preserve">egion of Attika, </w:t>
      </w:r>
      <w:r w:rsidR="005D07DC" w:rsidRPr="000844FE">
        <w:rPr>
          <w:rFonts w:cs="Arial"/>
          <w:szCs w:val="24"/>
        </w:rPr>
        <w:t>a</w:t>
      </w:r>
      <w:r w:rsidR="00A21B38" w:rsidRPr="000844FE">
        <w:rPr>
          <w:rFonts w:cs="Arial"/>
          <w:szCs w:val="24"/>
        </w:rPr>
        <w:t xml:space="preserve"> </w:t>
      </w:r>
      <w:r w:rsidR="00112AE1">
        <w:rPr>
          <w:rFonts w:cs="Arial"/>
          <w:szCs w:val="24"/>
        </w:rPr>
        <w:t xml:space="preserve">EUR </w:t>
      </w:r>
      <w:r w:rsidR="00A21B38" w:rsidRPr="000844FE">
        <w:rPr>
          <w:rFonts w:cs="Arial"/>
          <w:szCs w:val="24"/>
        </w:rPr>
        <w:t>15 mil</w:t>
      </w:r>
      <w:r w:rsidR="00491404" w:rsidRPr="000844FE">
        <w:rPr>
          <w:rFonts w:cs="Arial"/>
          <w:szCs w:val="24"/>
        </w:rPr>
        <w:t xml:space="preserve">lion budget </w:t>
      </w:r>
      <w:r w:rsidR="005D07DC" w:rsidRPr="000844FE">
        <w:rPr>
          <w:rFonts w:cs="Arial"/>
          <w:szCs w:val="24"/>
        </w:rPr>
        <w:t>has been approved (</w:t>
      </w:r>
      <w:r w:rsidR="00491404" w:rsidRPr="000844FE">
        <w:rPr>
          <w:rFonts w:cs="Arial"/>
          <w:szCs w:val="24"/>
        </w:rPr>
        <w:t>2018-2010</w:t>
      </w:r>
      <w:r w:rsidR="005D07DC" w:rsidRPr="000844FE">
        <w:rPr>
          <w:rFonts w:cs="Arial"/>
          <w:szCs w:val="24"/>
        </w:rPr>
        <w:t>)</w:t>
      </w:r>
      <w:r w:rsidR="00A21B38" w:rsidRPr="000844FE">
        <w:rPr>
          <w:rFonts w:cs="Arial"/>
          <w:szCs w:val="24"/>
        </w:rPr>
        <w:t xml:space="preserve"> for the transfer of residents of the welfare institution of </w:t>
      </w:r>
      <w:proofErr w:type="spellStart"/>
      <w:r w:rsidR="00A21B38" w:rsidRPr="000844FE">
        <w:rPr>
          <w:rFonts w:cs="Arial"/>
          <w:szCs w:val="24"/>
        </w:rPr>
        <w:t>Lech</w:t>
      </w:r>
      <w:r w:rsidR="004B1C97" w:rsidRPr="000844FE">
        <w:rPr>
          <w:rFonts w:cs="Arial"/>
          <w:szCs w:val="24"/>
        </w:rPr>
        <w:t>ai</w:t>
      </w:r>
      <w:r w:rsidR="00A21B38" w:rsidRPr="000844FE">
        <w:rPr>
          <w:rFonts w:cs="Arial"/>
          <w:szCs w:val="24"/>
        </w:rPr>
        <w:t>na</w:t>
      </w:r>
      <w:proofErr w:type="spellEnd"/>
      <w:r w:rsidR="00A21B38" w:rsidRPr="000844FE">
        <w:rPr>
          <w:rFonts w:cs="Arial"/>
          <w:szCs w:val="24"/>
        </w:rPr>
        <w:t xml:space="preserve"> as well as of institutions in the Region of Attica, into smaller residential care units, family-type residence or assisted return to family with parallel support provision</w:t>
      </w:r>
      <w:r w:rsidR="00112AE1">
        <w:rPr>
          <w:rFonts w:cs="Arial"/>
          <w:szCs w:val="24"/>
        </w:rPr>
        <w:t>.</w:t>
      </w:r>
      <w:r w:rsidR="005D07DC" w:rsidRPr="000844FE">
        <w:rPr>
          <w:rStyle w:val="FootnoteReference"/>
          <w:rFonts w:eastAsiaTheme="majorEastAsia" w:cs="Arial"/>
          <w:sz w:val="24"/>
          <w:szCs w:val="24"/>
        </w:rPr>
        <w:footnoteReference w:id="39"/>
      </w:r>
      <w:r w:rsidR="00A21B38" w:rsidRPr="000844FE">
        <w:rPr>
          <w:rFonts w:cs="Arial"/>
          <w:szCs w:val="24"/>
        </w:rPr>
        <w:t xml:space="preserve"> The project is funded by the state budget and it is managed an</w:t>
      </w:r>
      <w:r w:rsidR="00491404" w:rsidRPr="000844FE">
        <w:rPr>
          <w:rFonts w:cs="Arial"/>
          <w:szCs w:val="24"/>
        </w:rPr>
        <w:t xml:space="preserve">d implemented by the </w:t>
      </w:r>
      <w:r w:rsidR="00A21B38" w:rsidRPr="000844FE">
        <w:rPr>
          <w:rFonts w:cs="Arial"/>
          <w:szCs w:val="24"/>
        </w:rPr>
        <w:t>Centre for Social Welfare (Region of Western Greece and Region of Attica) reporting to the Secretariat of Social Solidarity, Ministry of Labour, Social Security and Social Solidarity.</w:t>
      </w:r>
    </w:p>
    <w:p w14:paraId="69918A2B" w14:textId="77777777" w:rsidR="008E4ACD" w:rsidRPr="000844FE" w:rsidRDefault="008E4ACD" w:rsidP="0017733F"/>
    <w:p w14:paraId="3F1939AE" w14:textId="17D61585" w:rsidR="00FF192C" w:rsidRPr="000844FE" w:rsidRDefault="00FF192C" w:rsidP="00112AE1">
      <w:pPr>
        <w:pStyle w:val="Heading2"/>
      </w:pPr>
      <w:bookmarkStart w:id="21" w:name="_Toc529874064"/>
      <w:bookmarkStart w:id="22" w:name="_Toc7608758"/>
      <w:r w:rsidRPr="000844FE">
        <w:t>What is the (official) involvement of persons with disabilities and/or their representative organisations in the development of the strategies and plans</w:t>
      </w:r>
      <w:bookmarkEnd w:id="21"/>
      <w:bookmarkEnd w:id="22"/>
    </w:p>
    <w:p w14:paraId="1D4CD84E" w14:textId="0B046064" w:rsidR="008E4ACD" w:rsidRPr="000844FE" w:rsidRDefault="008E4ACD" w:rsidP="00112AE1"/>
    <w:p w14:paraId="225D7FC3" w14:textId="0981E1A9" w:rsidR="00F70D56" w:rsidRPr="000844FE" w:rsidRDefault="00964A48" w:rsidP="000844FE">
      <w:pPr>
        <w:rPr>
          <w:rFonts w:cs="Arial"/>
          <w:szCs w:val="24"/>
        </w:rPr>
      </w:pPr>
      <w:r w:rsidRPr="000844FE">
        <w:rPr>
          <w:rFonts w:cs="Arial"/>
          <w:szCs w:val="24"/>
        </w:rPr>
        <w:t xml:space="preserve">The </w:t>
      </w:r>
      <w:r w:rsidR="00F70D56" w:rsidRPr="000844FE">
        <w:rPr>
          <w:rFonts w:cs="Arial"/>
          <w:szCs w:val="24"/>
        </w:rPr>
        <w:t xml:space="preserve">Partnership Agreement (2014-2020) </w:t>
      </w:r>
      <w:r w:rsidRPr="000844FE">
        <w:rPr>
          <w:rFonts w:cs="Arial"/>
          <w:szCs w:val="24"/>
        </w:rPr>
        <w:t xml:space="preserve">explicitly states under section 1.5 Implementation of </w:t>
      </w:r>
      <w:r w:rsidR="00F46C9F" w:rsidRPr="000844FE">
        <w:rPr>
          <w:rFonts w:cs="Arial"/>
          <w:szCs w:val="24"/>
        </w:rPr>
        <w:t>Conditionalities</w:t>
      </w:r>
      <w:r w:rsidR="00075951" w:rsidRPr="000844FE">
        <w:rPr>
          <w:rFonts w:cs="Arial"/>
          <w:szCs w:val="24"/>
        </w:rPr>
        <w:t xml:space="preserve"> that</w:t>
      </w:r>
      <w:r w:rsidR="00112AE1">
        <w:rPr>
          <w:rFonts w:cs="Arial"/>
          <w:szCs w:val="24"/>
        </w:rPr>
        <w:t>.</w:t>
      </w:r>
      <w:r w:rsidRPr="000844FE">
        <w:rPr>
          <w:rStyle w:val="FootnoteReference"/>
          <w:rFonts w:cs="Arial"/>
          <w:sz w:val="24"/>
          <w:szCs w:val="24"/>
        </w:rPr>
        <w:footnoteReference w:id="40"/>
      </w:r>
    </w:p>
    <w:p w14:paraId="1BDC61D0" w14:textId="56BAD22E" w:rsidR="00F70D56" w:rsidRPr="000844FE" w:rsidRDefault="00F70D56" w:rsidP="000844FE">
      <w:pPr>
        <w:rPr>
          <w:rFonts w:cs="Arial"/>
          <w:szCs w:val="24"/>
        </w:rPr>
      </w:pPr>
    </w:p>
    <w:p w14:paraId="6C4B734D" w14:textId="7958B657" w:rsidR="00F70D56" w:rsidRPr="000844FE" w:rsidRDefault="00CD1FD5" w:rsidP="000844FE">
      <w:pPr>
        <w:rPr>
          <w:rFonts w:cs="Arial"/>
          <w:szCs w:val="24"/>
        </w:rPr>
      </w:pPr>
      <w:r w:rsidRPr="000844FE">
        <w:rPr>
          <w:rFonts w:cs="Arial"/>
          <w:szCs w:val="24"/>
        </w:rPr>
        <w:t>“</w:t>
      </w:r>
      <w:r w:rsidR="00F70D56" w:rsidRPr="000844FE">
        <w:rPr>
          <w:rFonts w:cs="Arial"/>
          <w:szCs w:val="24"/>
        </w:rPr>
        <w:t>[The programmatic framework] foresees the active involvement of the National Co-federation of Persons with disabilities in the training of the staff of the authorities who have the responsibility of managing funds (…), especially in the sectors of applied EU and international legislation and policy for disability and the accessibility of persons with disability, and their practical implementation in the interventions of the programmatic framework, concerning obligations with regards to the respective conditionality. In parallel, the NCDP is foreseen to participate in the Monitoring Committees of the O.P., in the formulation of specialised eligibility criteria of actions which link to accessibility and non-discrimination.</w:t>
      </w:r>
      <w:r w:rsidRPr="000844FE">
        <w:rPr>
          <w:rFonts w:cs="Arial"/>
          <w:szCs w:val="24"/>
        </w:rPr>
        <w:t>”</w:t>
      </w:r>
    </w:p>
    <w:p w14:paraId="4EE9707D" w14:textId="7D699BB8" w:rsidR="00754CC0" w:rsidRPr="000844FE" w:rsidRDefault="00754CC0" w:rsidP="000844FE">
      <w:pPr>
        <w:rPr>
          <w:rFonts w:cs="Arial"/>
          <w:szCs w:val="24"/>
        </w:rPr>
      </w:pPr>
    </w:p>
    <w:p w14:paraId="245C2DB1" w14:textId="7A19E8A0" w:rsidR="00754CC0" w:rsidRPr="000844FE" w:rsidRDefault="00376B86" w:rsidP="000844FE">
      <w:pPr>
        <w:pStyle w:val="ListParagraph"/>
        <w:ind w:left="0"/>
        <w:rPr>
          <w:rFonts w:cs="Arial"/>
          <w:szCs w:val="24"/>
        </w:rPr>
      </w:pPr>
      <w:r w:rsidRPr="000844FE">
        <w:rPr>
          <w:rFonts w:cs="Arial"/>
          <w:szCs w:val="24"/>
        </w:rPr>
        <w:t xml:space="preserve">Similarly, there are consultation processes in place for the development of regional operational programs with the National Co-federation of Disabled People in Greece. In </w:t>
      </w:r>
      <w:r w:rsidRPr="000844FE">
        <w:rPr>
          <w:rFonts w:cs="Arial"/>
          <w:szCs w:val="24"/>
        </w:rPr>
        <w:lastRenderedPageBreak/>
        <w:t>the case of the Region of Attika, this involved the adoption of the recommendation for the u</w:t>
      </w:r>
      <w:r w:rsidR="00754CC0" w:rsidRPr="000844FE">
        <w:rPr>
          <w:rFonts w:cs="Arial"/>
          <w:szCs w:val="24"/>
        </w:rPr>
        <w:t>se EU funds to promote independent living schemes and targeted support services</w:t>
      </w:r>
      <w:r w:rsidR="00D1707C">
        <w:rPr>
          <w:rFonts w:cs="Arial"/>
          <w:szCs w:val="24"/>
        </w:rPr>
        <w:t>.</w:t>
      </w:r>
      <w:r w:rsidR="00754CC0" w:rsidRPr="000844FE">
        <w:rPr>
          <w:rStyle w:val="FootnoteReference"/>
          <w:rFonts w:eastAsiaTheme="majorEastAsia" w:cs="Arial"/>
          <w:sz w:val="24"/>
          <w:szCs w:val="24"/>
        </w:rPr>
        <w:footnoteReference w:id="41"/>
      </w:r>
      <w:r w:rsidR="00754CC0" w:rsidRPr="000844FE">
        <w:rPr>
          <w:rFonts w:cs="Arial"/>
          <w:szCs w:val="24"/>
        </w:rPr>
        <w:t xml:space="preserve"> </w:t>
      </w:r>
    </w:p>
    <w:p w14:paraId="4482DB9B" w14:textId="77777777" w:rsidR="00754CC0" w:rsidRPr="000844FE" w:rsidRDefault="00754CC0" w:rsidP="00D1707C"/>
    <w:p w14:paraId="5CAE8077" w14:textId="765811FB" w:rsidR="008E4ACD" w:rsidRPr="000844FE" w:rsidRDefault="008E4ACD" w:rsidP="00D1707C">
      <w:pPr>
        <w:pStyle w:val="Heading1"/>
      </w:pPr>
      <w:bookmarkStart w:id="23" w:name="_Toc529874065"/>
      <w:bookmarkStart w:id="24" w:name="_Toc7608759"/>
      <w:r w:rsidRPr="000844FE">
        <w:t>Implementation and monitoring</w:t>
      </w:r>
      <w:bookmarkEnd w:id="23"/>
      <w:bookmarkEnd w:id="24"/>
    </w:p>
    <w:p w14:paraId="2D832B53" w14:textId="77777777" w:rsidR="008E4ACD" w:rsidRPr="000844FE" w:rsidRDefault="008E4ACD" w:rsidP="000844FE">
      <w:pPr>
        <w:rPr>
          <w:rFonts w:cs="Arial"/>
          <w:b/>
          <w:szCs w:val="24"/>
        </w:rPr>
      </w:pPr>
    </w:p>
    <w:p w14:paraId="1C21DDAE" w14:textId="10B2FAFA" w:rsidR="008E4ACD" w:rsidRPr="000844FE" w:rsidRDefault="008E4ACD" w:rsidP="00D1707C">
      <w:pPr>
        <w:pStyle w:val="Heading2"/>
      </w:pPr>
      <w:bookmarkStart w:id="25" w:name="_Toc529874066"/>
      <w:bookmarkStart w:id="26" w:name="_Toc7608760"/>
      <w:r w:rsidRPr="000844FE">
        <w:t>Summary of relevant calls for proposals</w:t>
      </w:r>
      <w:bookmarkEnd w:id="25"/>
      <w:bookmarkEnd w:id="26"/>
    </w:p>
    <w:p w14:paraId="6F9E91EA" w14:textId="5E0E1CAB" w:rsidR="00C42EC0" w:rsidRPr="000844FE" w:rsidRDefault="00C42EC0" w:rsidP="00D1707C"/>
    <w:p w14:paraId="640D02E2" w14:textId="3C57092D" w:rsidR="00C42EC0" w:rsidRPr="000844FE" w:rsidRDefault="004C5F94" w:rsidP="000844FE">
      <w:pPr>
        <w:rPr>
          <w:rFonts w:cs="Arial"/>
          <w:szCs w:val="24"/>
        </w:rPr>
      </w:pPr>
      <w:r w:rsidRPr="000844FE">
        <w:rPr>
          <w:rFonts w:cs="Arial"/>
          <w:szCs w:val="24"/>
        </w:rPr>
        <w:t xml:space="preserve">The following </w:t>
      </w:r>
      <w:r w:rsidR="00F8734D" w:rsidRPr="000844FE">
        <w:rPr>
          <w:rFonts w:cs="Arial"/>
          <w:szCs w:val="24"/>
        </w:rPr>
        <w:t>i</w:t>
      </w:r>
      <w:r w:rsidRPr="000844FE">
        <w:rPr>
          <w:rFonts w:cs="Arial"/>
          <w:szCs w:val="24"/>
        </w:rPr>
        <w:t>nformation concerns</w:t>
      </w:r>
      <w:r w:rsidR="00F8734D" w:rsidRPr="000844FE">
        <w:rPr>
          <w:rFonts w:cs="Arial"/>
          <w:szCs w:val="24"/>
        </w:rPr>
        <w:t xml:space="preserve"> c</w:t>
      </w:r>
      <w:r w:rsidR="00C42EC0" w:rsidRPr="000844FE">
        <w:rPr>
          <w:rFonts w:cs="Arial"/>
          <w:szCs w:val="24"/>
        </w:rPr>
        <w:t>urrently open</w:t>
      </w:r>
      <w:r w:rsidR="00F8734D" w:rsidRPr="000844FE">
        <w:rPr>
          <w:rFonts w:cs="Arial"/>
          <w:szCs w:val="24"/>
        </w:rPr>
        <w:t xml:space="preserve"> calls</w:t>
      </w:r>
      <w:r w:rsidR="008E3DB4" w:rsidRPr="000844FE">
        <w:rPr>
          <w:rFonts w:cs="Arial"/>
          <w:szCs w:val="24"/>
        </w:rPr>
        <w:t xml:space="preserve"> under ESF/ERDF 2014-2010. These can be considered as </w:t>
      </w:r>
      <w:r w:rsidR="00F8734D" w:rsidRPr="000844FE">
        <w:rPr>
          <w:rFonts w:cs="Arial"/>
          <w:szCs w:val="24"/>
        </w:rPr>
        <w:t xml:space="preserve">additional types of projects to those listed in the </w:t>
      </w:r>
      <w:r w:rsidRPr="000844FE">
        <w:rPr>
          <w:rFonts w:cs="Arial"/>
          <w:szCs w:val="24"/>
        </w:rPr>
        <w:t>next</w:t>
      </w:r>
      <w:r w:rsidR="00F8734D" w:rsidRPr="000844FE">
        <w:rPr>
          <w:rFonts w:cs="Arial"/>
          <w:szCs w:val="24"/>
        </w:rPr>
        <w:t xml:space="preserve"> section (3.2)</w:t>
      </w:r>
      <w:r w:rsidR="00654E21" w:rsidRPr="000844FE">
        <w:rPr>
          <w:rFonts w:cs="Arial"/>
          <w:szCs w:val="24"/>
        </w:rPr>
        <w:t>.</w:t>
      </w:r>
    </w:p>
    <w:p w14:paraId="62347C94" w14:textId="77777777" w:rsidR="00C42EC0" w:rsidRPr="000844FE" w:rsidRDefault="00C42EC0" w:rsidP="00D1707C"/>
    <w:p w14:paraId="1EDCD0BD" w14:textId="646CA2A3" w:rsidR="00D22113" w:rsidRPr="000844FE" w:rsidRDefault="00D22113" w:rsidP="00D1707C">
      <w:pPr>
        <w:pStyle w:val="ListParagraph"/>
        <w:numPr>
          <w:ilvl w:val="0"/>
          <w:numId w:val="31"/>
        </w:numPr>
        <w:ind w:left="567" w:hanging="567"/>
        <w:rPr>
          <w:rFonts w:cs="Arial"/>
          <w:szCs w:val="24"/>
        </w:rPr>
      </w:pPr>
      <w:r w:rsidRPr="000844FE">
        <w:rPr>
          <w:rFonts w:cs="Arial"/>
          <w:szCs w:val="24"/>
        </w:rPr>
        <w:t>Day Care (Community based) Services</w:t>
      </w:r>
    </w:p>
    <w:p w14:paraId="56C795B1" w14:textId="77777777" w:rsidR="00D1707C" w:rsidRDefault="00D1707C" w:rsidP="000844FE">
      <w:pPr>
        <w:rPr>
          <w:rFonts w:cs="Arial"/>
          <w:szCs w:val="24"/>
        </w:rPr>
      </w:pPr>
    </w:p>
    <w:p w14:paraId="3717295B" w14:textId="5E6EABF4" w:rsidR="004C5F94" w:rsidRPr="000844FE" w:rsidRDefault="00D22113" w:rsidP="000844FE">
      <w:pPr>
        <w:rPr>
          <w:rFonts w:cs="Arial"/>
          <w:szCs w:val="24"/>
        </w:rPr>
      </w:pPr>
      <w:r w:rsidRPr="000844FE">
        <w:rPr>
          <w:rFonts w:cs="Arial"/>
          <w:szCs w:val="24"/>
        </w:rPr>
        <w:t>The call is intended to build</w:t>
      </w:r>
      <w:r w:rsidR="004C5F94" w:rsidRPr="000844FE">
        <w:rPr>
          <w:rFonts w:cs="Arial"/>
          <w:szCs w:val="24"/>
        </w:rPr>
        <w:t xml:space="preserve"> the capacity of structures which support vulnerable social groups and their families, </w:t>
      </w:r>
      <w:r w:rsidRPr="000844FE">
        <w:rPr>
          <w:rFonts w:cs="Arial"/>
          <w:szCs w:val="24"/>
        </w:rPr>
        <w:t>such as</w:t>
      </w:r>
      <w:r w:rsidR="004C5F94" w:rsidRPr="000844FE">
        <w:rPr>
          <w:rFonts w:cs="Arial"/>
          <w:szCs w:val="24"/>
        </w:rPr>
        <w:t xml:space="preserve"> Day Care Centres for Persons with disabilities</w:t>
      </w:r>
      <w:r w:rsidR="00E66FD9" w:rsidRPr="000844FE">
        <w:rPr>
          <w:rStyle w:val="FootnoteReference"/>
          <w:rFonts w:cs="Arial"/>
          <w:sz w:val="24"/>
          <w:szCs w:val="24"/>
        </w:rPr>
        <w:footnoteReference w:id="42"/>
      </w:r>
      <w:r w:rsidRPr="000844FE">
        <w:rPr>
          <w:rFonts w:cs="Arial"/>
          <w:szCs w:val="24"/>
        </w:rPr>
        <w:t>, for three years</w:t>
      </w:r>
      <w:r w:rsidR="004C5F94" w:rsidRPr="000844FE">
        <w:rPr>
          <w:rFonts w:cs="Arial"/>
          <w:szCs w:val="24"/>
        </w:rPr>
        <w:t>.</w:t>
      </w:r>
    </w:p>
    <w:p w14:paraId="5FDA3F93" w14:textId="77777777" w:rsidR="004C5F94" w:rsidRPr="00D1707C" w:rsidRDefault="004C5F94" w:rsidP="00D1707C">
      <w:pPr>
        <w:rPr>
          <w:rFonts w:cs="Arial"/>
          <w:szCs w:val="24"/>
        </w:rPr>
      </w:pPr>
    </w:p>
    <w:p w14:paraId="62D4C1D9" w14:textId="795DF380" w:rsidR="00C42EC0" w:rsidRPr="000844FE" w:rsidRDefault="004C5F94" w:rsidP="000844FE">
      <w:pPr>
        <w:rPr>
          <w:rFonts w:cs="Arial"/>
          <w:szCs w:val="24"/>
        </w:rPr>
      </w:pPr>
      <w:r w:rsidRPr="000844FE">
        <w:rPr>
          <w:rFonts w:cs="Arial"/>
          <w:szCs w:val="24"/>
        </w:rPr>
        <w:t>The specific call is open under three</w:t>
      </w:r>
      <w:r w:rsidR="005D6F7D" w:rsidRPr="000844FE">
        <w:rPr>
          <w:rFonts w:cs="Arial"/>
          <w:szCs w:val="24"/>
        </w:rPr>
        <w:t xml:space="preserve"> different</w:t>
      </w:r>
      <w:r w:rsidRPr="000844FE">
        <w:rPr>
          <w:rFonts w:cs="Arial"/>
          <w:szCs w:val="24"/>
        </w:rPr>
        <w:t xml:space="preserve"> Regional Operational Programs, namely </w:t>
      </w:r>
      <w:r w:rsidR="00C42EC0" w:rsidRPr="000844FE">
        <w:rPr>
          <w:rFonts w:cs="Arial"/>
          <w:szCs w:val="24"/>
        </w:rPr>
        <w:t>Central Macedonia</w:t>
      </w:r>
      <w:r w:rsidRPr="000844FE">
        <w:rPr>
          <w:rFonts w:cs="Arial"/>
          <w:szCs w:val="24"/>
        </w:rPr>
        <w:t xml:space="preserve"> with a total budget of </w:t>
      </w:r>
      <w:r w:rsidR="00D1707C">
        <w:rPr>
          <w:rFonts w:cs="Arial"/>
          <w:szCs w:val="24"/>
        </w:rPr>
        <w:t>EUR</w:t>
      </w:r>
      <w:r w:rsidRPr="000844FE">
        <w:rPr>
          <w:rFonts w:cs="Arial"/>
          <w:szCs w:val="24"/>
        </w:rPr>
        <w:t xml:space="preserve"> 1,421,</w:t>
      </w:r>
      <w:r w:rsidR="00F56D65" w:rsidRPr="000844FE">
        <w:rPr>
          <w:rFonts w:cs="Arial"/>
          <w:szCs w:val="24"/>
        </w:rPr>
        <w:t>053</w:t>
      </w:r>
      <w:r w:rsidRPr="000844FE">
        <w:rPr>
          <w:rFonts w:cs="Arial"/>
          <w:szCs w:val="24"/>
        </w:rPr>
        <w:t xml:space="preserve">; Crete </w:t>
      </w:r>
      <w:r w:rsidR="00D1707C">
        <w:rPr>
          <w:rFonts w:cs="Arial"/>
          <w:szCs w:val="24"/>
        </w:rPr>
        <w:t xml:space="preserve">EUR </w:t>
      </w:r>
      <w:r w:rsidRPr="000844FE">
        <w:rPr>
          <w:rFonts w:cs="Arial"/>
          <w:szCs w:val="24"/>
        </w:rPr>
        <w:t>1,285,</w:t>
      </w:r>
      <w:r w:rsidR="00E66FD9" w:rsidRPr="000844FE">
        <w:rPr>
          <w:rFonts w:cs="Arial"/>
          <w:szCs w:val="24"/>
        </w:rPr>
        <w:t>000; and</w:t>
      </w:r>
      <w:r w:rsidRPr="000844FE">
        <w:rPr>
          <w:rFonts w:cs="Arial"/>
          <w:szCs w:val="24"/>
        </w:rPr>
        <w:t xml:space="preserve"> Attika </w:t>
      </w:r>
      <w:r w:rsidR="00D1707C">
        <w:rPr>
          <w:rFonts w:cs="Arial"/>
          <w:szCs w:val="24"/>
        </w:rPr>
        <w:t xml:space="preserve">EUR </w:t>
      </w:r>
      <w:r w:rsidRPr="000844FE">
        <w:rPr>
          <w:rFonts w:cs="Arial"/>
          <w:szCs w:val="24"/>
        </w:rPr>
        <w:t>11,266,</w:t>
      </w:r>
      <w:r w:rsidR="00C42EC0" w:rsidRPr="000844FE">
        <w:rPr>
          <w:rFonts w:cs="Arial"/>
          <w:szCs w:val="24"/>
        </w:rPr>
        <w:t>000</w:t>
      </w:r>
      <w:r w:rsidR="00740FD4" w:rsidRPr="000844FE">
        <w:rPr>
          <w:rFonts w:cs="Arial"/>
          <w:szCs w:val="24"/>
        </w:rPr>
        <w:t>.</w:t>
      </w:r>
    </w:p>
    <w:p w14:paraId="4B98D041" w14:textId="77777777" w:rsidR="00C42EC0" w:rsidRPr="000844FE" w:rsidRDefault="00C42EC0" w:rsidP="00D1707C"/>
    <w:p w14:paraId="407A3C48" w14:textId="24538165" w:rsidR="00C42EC0" w:rsidRDefault="00E66FD9" w:rsidP="00D1707C">
      <w:pPr>
        <w:pStyle w:val="ListParagraph"/>
        <w:numPr>
          <w:ilvl w:val="0"/>
          <w:numId w:val="31"/>
        </w:numPr>
        <w:ind w:left="567" w:hanging="567"/>
        <w:rPr>
          <w:rFonts w:cs="Arial"/>
          <w:szCs w:val="24"/>
        </w:rPr>
      </w:pPr>
      <w:r w:rsidRPr="000844FE">
        <w:rPr>
          <w:rFonts w:cs="Arial"/>
          <w:szCs w:val="24"/>
        </w:rPr>
        <w:t>C</w:t>
      </w:r>
      <w:r w:rsidR="00C42EC0" w:rsidRPr="000844FE">
        <w:rPr>
          <w:rFonts w:cs="Arial"/>
          <w:szCs w:val="24"/>
        </w:rPr>
        <w:t>ommunity based mental health services</w:t>
      </w:r>
      <w:r w:rsidRPr="000844FE">
        <w:rPr>
          <w:rStyle w:val="FootnoteReference"/>
          <w:rFonts w:cs="Arial"/>
          <w:sz w:val="24"/>
          <w:szCs w:val="24"/>
        </w:rPr>
        <w:footnoteReference w:id="43"/>
      </w:r>
      <w:r w:rsidR="00C42EC0" w:rsidRPr="000844FE">
        <w:rPr>
          <w:rFonts w:cs="Arial"/>
          <w:szCs w:val="24"/>
        </w:rPr>
        <w:t xml:space="preserve"> </w:t>
      </w:r>
    </w:p>
    <w:p w14:paraId="3297B7F7" w14:textId="77777777" w:rsidR="00D1707C" w:rsidRPr="00D1707C" w:rsidRDefault="00D1707C" w:rsidP="00D1707C">
      <w:pPr>
        <w:rPr>
          <w:rFonts w:cs="Arial"/>
          <w:szCs w:val="24"/>
        </w:rPr>
      </w:pPr>
    </w:p>
    <w:p w14:paraId="4F9BCD83" w14:textId="15213426" w:rsidR="00C42EC0" w:rsidRPr="000844FE" w:rsidRDefault="005D6F7D" w:rsidP="000844FE">
      <w:pPr>
        <w:rPr>
          <w:rFonts w:cs="Arial"/>
          <w:szCs w:val="24"/>
        </w:rPr>
      </w:pPr>
      <w:r w:rsidRPr="000844FE">
        <w:rPr>
          <w:rFonts w:cs="Arial"/>
          <w:szCs w:val="24"/>
          <w:lang w:val="en-US"/>
        </w:rPr>
        <w:t>Selected activities include establishment of c</w:t>
      </w:r>
      <w:r w:rsidR="001E5FF2" w:rsidRPr="000844FE">
        <w:rPr>
          <w:rFonts w:cs="Arial"/>
          <w:szCs w:val="24"/>
          <w:lang w:val="en-US"/>
        </w:rPr>
        <w:t xml:space="preserve">omprehensive </w:t>
      </w:r>
      <w:r w:rsidR="00F50E2F" w:rsidRPr="000844FE">
        <w:rPr>
          <w:rFonts w:cs="Arial"/>
          <w:szCs w:val="24"/>
          <w:lang w:val="en-US"/>
        </w:rPr>
        <w:t>community-based</w:t>
      </w:r>
      <w:r w:rsidR="001E5FF2" w:rsidRPr="000844FE">
        <w:rPr>
          <w:rFonts w:cs="Arial"/>
          <w:szCs w:val="24"/>
          <w:lang w:val="en-US"/>
        </w:rPr>
        <w:t xml:space="preserve"> thera</w:t>
      </w:r>
      <w:r w:rsidRPr="000844FE">
        <w:rPr>
          <w:rFonts w:cs="Arial"/>
          <w:szCs w:val="24"/>
          <w:lang w:val="en-US"/>
        </w:rPr>
        <w:t>py and home assistance services,</w:t>
      </w:r>
      <w:r w:rsidR="001E5FF2" w:rsidRPr="000844FE">
        <w:rPr>
          <w:rFonts w:cs="Arial"/>
          <w:szCs w:val="24"/>
          <w:lang w:val="en-US"/>
        </w:rPr>
        <w:t xml:space="preserve"> mobile units for specializ</w:t>
      </w:r>
      <w:r w:rsidRPr="000844FE">
        <w:rPr>
          <w:rFonts w:cs="Arial"/>
          <w:szCs w:val="24"/>
          <w:lang w:val="en-US"/>
        </w:rPr>
        <w:t xml:space="preserve">ed child psycho-social support as well as a </w:t>
      </w:r>
      <w:r w:rsidR="001E5FF2" w:rsidRPr="000844FE">
        <w:rPr>
          <w:rFonts w:cs="Arial"/>
          <w:szCs w:val="24"/>
          <w:lang w:val="en-US"/>
        </w:rPr>
        <w:t xml:space="preserve">specialized day centre for persons with </w:t>
      </w:r>
      <w:r w:rsidR="00C42EC0" w:rsidRPr="000844FE">
        <w:rPr>
          <w:rFonts w:cs="Arial"/>
          <w:szCs w:val="24"/>
        </w:rPr>
        <w:t xml:space="preserve">Alzheimer. </w:t>
      </w:r>
    </w:p>
    <w:p w14:paraId="4F1C21FB" w14:textId="77777777" w:rsidR="005D6F7D" w:rsidRPr="000844FE" w:rsidRDefault="005D6F7D" w:rsidP="000844FE">
      <w:pPr>
        <w:rPr>
          <w:rFonts w:cs="Arial"/>
          <w:szCs w:val="24"/>
        </w:rPr>
      </w:pPr>
    </w:p>
    <w:p w14:paraId="2727FE8C" w14:textId="711E744B" w:rsidR="00C42EC0" w:rsidRPr="000844FE" w:rsidRDefault="005D6F7D" w:rsidP="000844FE">
      <w:pPr>
        <w:rPr>
          <w:rFonts w:cs="Arial"/>
          <w:szCs w:val="24"/>
        </w:rPr>
      </w:pPr>
      <w:r w:rsidRPr="000844FE">
        <w:rPr>
          <w:rFonts w:cs="Arial"/>
          <w:szCs w:val="24"/>
        </w:rPr>
        <w:t xml:space="preserve">This call is open by the </w:t>
      </w:r>
      <w:r w:rsidR="00E66FD9" w:rsidRPr="000844FE">
        <w:rPr>
          <w:rFonts w:cs="Arial"/>
          <w:szCs w:val="24"/>
        </w:rPr>
        <w:t xml:space="preserve">Regional Operational Program </w:t>
      </w:r>
      <w:r w:rsidR="0053377C" w:rsidRPr="000844FE">
        <w:rPr>
          <w:rFonts w:cs="Arial"/>
          <w:szCs w:val="24"/>
        </w:rPr>
        <w:t xml:space="preserve">in </w:t>
      </w:r>
      <w:r w:rsidR="003C40FC" w:rsidRPr="000844FE">
        <w:rPr>
          <w:rFonts w:cs="Arial"/>
          <w:szCs w:val="24"/>
        </w:rPr>
        <w:t>Thessaly (</w:t>
      </w:r>
      <w:r w:rsidR="00D1707C">
        <w:rPr>
          <w:rFonts w:cs="Arial"/>
          <w:szCs w:val="24"/>
        </w:rPr>
        <w:t xml:space="preserve">EUR </w:t>
      </w:r>
      <w:r w:rsidRPr="000844FE">
        <w:rPr>
          <w:rFonts w:cs="Arial"/>
          <w:szCs w:val="24"/>
        </w:rPr>
        <w:t>1,320,</w:t>
      </w:r>
      <w:r w:rsidR="003C40FC" w:rsidRPr="000844FE">
        <w:rPr>
          <w:rFonts w:cs="Arial"/>
          <w:szCs w:val="24"/>
        </w:rPr>
        <w:t>000)</w:t>
      </w:r>
      <w:r w:rsidRPr="000844FE">
        <w:rPr>
          <w:rFonts w:cs="Arial"/>
          <w:szCs w:val="24"/>
        </w:rPr>
        <w:t xml:space="preserve"> and in</w:t>
      </w:r>
      <w:r w:rsidR="00C42EC0" w:rsidRPr="000844FE">
        <w:rPr>
          <w:rFonts w:cs="Arial"/>
          <w:szCs w:val="24"/>
        </w:rPr>
        <w:t xml:space="preserve"> Epirus</w:t>
      </w:r>
      <w:r w:rsidRPr="000844FE">
        <w:rPr>
          <w:rFonts w:cs="Arial"/>
          <w:szCs w:val="24"/>
        </w:rPr>
        <w:t xml:space="preserve"> (</w:t>
      </w:r>
      <w:r w:rsidR="00D1707C">
        <w:rPr>
          <w:rFonts w:cs="Arial"/>
          <w:szCs w:val="24"/>
        </w:rPr>
        <w:t>EUR</w:t>
      </w:r>
      <w:r w:rsidRPr="000844FE">
        <w:rPr>
          <w:rFonts w:cs="Arial"/>
          <w:szCs w:val="24"/>
        </w:rPr>
        <w:t xml:space="preserve"> 2,668,</w:t>
      </w:r>
      <w:r w:rsidR="00C42EC0" w:rsidRPr="000844FE">
        <w:rPr>
          <w:rFonts w:cs="Arial"/>
          <w:szCs w:val="24"/>
        </w:rPr>
        <w:t>850)</w:t>
      </w:r>
      <w:r w:rsidR="00D22113" w:rsidRPr="000844FE">
        <w:rPr>
          <w:rFonts w:cs="Arial"/>
          <w:szCs w:val="24"/>
        </w:rPr>
        <w:t>.</w:t>
      </w:r>
    </w:p>
    <w:p w14:paraId="5C39C7F0" w14:textId="31964DD8" w:rsidR="00B5485B" w:rsidRPr="000844FE" w:rsidRDefault="00B5485B" w:rsidP="00D1707C">
      <w:pPr>
        <w:rPr>
          <w:b/>
        </w:rPr>
      </w:pPr>
    </w:p>
    <w:p w14:paraId="6073AD5A" w14:textId="09AFBB16" w:rsidR="00B5485B" w:rsidRPr="000844FE" w:rsidRDefault="00B5485B" w:rsidP="00D1707C">
      <w:pPr>
        <w:pStyle w:val="Heading2"/>
      </w:pPr>
      <w:bookmarkStart w:id="27" w:name="_Toc529874067"/>
      <w:bookmarkStart w:id="28" w:name="_Toc7608761"/>
      <w:r w:rsidRPr="000844FE">
        <w:t>Summary of relevant projects funded</w:t>
      </w:r>
      <w:bookmarkEnd w:id="27"/>
      <w:bookmarkEnd w:id="28"/>
    </w:p>
    <w:p w14:paraId="3E7D289C" w14:textId="35A9040C" w:rsidR="00B83611" w:rsidRPr="000844FE" w:rsidRDefault="00B83611" w:rsidP="00D1707C"/>
    <w:p w14:paraId="1B21A4DB" w14:textId="194E4459" w:rsidR="0082688E" w:rsidRDefault="00B83611" w:rsidP="000844FE">
      <w:pPr>
        <w:rPr>
          <w:rFonts w:cs="Arial"/>
          <w:szCs w:val="24"/>
        </w:rPr>
      </w:pPr>
      <w:r w:rsidRPr="000844FE">
        <w:rPr>
          <w:rFonts w:cs="Arial"/>
          <w:szCs w:val="24"/>
        </w:rPr>
        <w:t>The following information is retrieved from the</w:t>
      </w:r>
      <w:r w:rsidR="0082688E" w:rsidRPr="000844FE">
        <w:rPr>
          <w:rFonts w:cs="Arial"/>
          <w:szCs w:val="24"/>
        </w:rPr>
        <w:t xml:space="preserve"> </w:t>
      </w:r>
      <w:r w:rsidR="004E7EA4" w:rsidRPr="000844FE">
        <w:rPr>
          <w:rFonts w:eastAsia="Calibri" w:cs="Arial"/>
          <w:szCs w:val="24"/>
        </w:rPr>
        <w:t>ESF and ERDF (approved) program list (2014-2020)</w:t>
      </w:r>
      <w:r w:rsidR="00D1707C">
        <w:rPr>
          <w:rFonts w:eastAsia="Calibri" w:cs="Arial"/>
          <w:szCs w:val="24"/>
        </w:rPr>
        <w:t>.</w:t>
      </w:r>
      <w:r w:rsidR="004E7EA4" w:rsidRPr="000844FE">
        <w:rPr>
          <w:rStyle w:val="FootnoteReference"/>
          <w:rFonts w:eastAsiaTheme="majorEastAsia" w:cs="Arial"/>
          <w:sz w:val="24"/>
          <w:szCs w:val="24"/>
        </w:rPr>
        <w:footnoteReference w:id="44"/>
      </w:r>
      <w:r w:rsidR="004E7EA4" w:rsidRPr="000844FE">
        <w:rPr>
          <w:rFonts w:cs="Arial"/>
          <w:szCs w:val="24"/>
        </w:rPr>
        <w:t xml:space="preserve"> No</w:t>
      </w:r>
      <w:r w:rsidR="0082688E" w:rsidRPr="000844FE">
        <w:rPr>
          <w:rFonts w:cs="Arial"/>
          <w:szCs w:val="24"/>
        </w:rPr>
        <w:t xml:space="preserve"> projects were identified </w:t>
      </w:r>
      <w:r w:rsidR="004E7EA4" w:rsidRPr="000844FE">
        <w:rPr>
          <w:rFonts w:cs="Arial"/>
          <w:szCs w:val="24"/>
        </w:rPr>
        <w:t>with respect to</w:t>
      </w:r>
      <w:r w:rsidR="0082688E" w:rsidRPr="000844FE">
        <w:rPr>
          <w:rFonts w:cs="Arial"/>
          <w:szCs w:val="24"/>
        </w:rPr>
        <w:t xml:space="preserve"> the closure or resettlement from institutional care to </w:t>
      </w:r>
      <w:r w:rsidR="00F50E2F" w:rsidRPr="000844FE">
        <w:rPr>
          <w:rFonts w:cs="Arial"/>
          <w:szCs w:val="24"/>
        </w:rPr>
        <w:t>community-based</w:t>
      </w:r>
      <w:r w:rsidR="0082688E" w:rsidRPr="000844FE">
        <w:rPr>
          <w:rFonts w:cs="Arial"/>
          <w:szCs w:val="24"/>
        </w:rPr>
        <w:t xml:space="preserve"> services.</w:t>
      </w:r>
      <w:r w:rsidR="004E7EA4" w:rsidRPr="000844FE">
        <w:rPr>
          <w:rFonts w:cs="Arial"/>
          <w:szCs w:val="24"/>
        </w:rPr>
        <w:t xml:space="preserve"> </w:t>
      </w:r>
      <w:r w:rsidR="0082688E" w:rsidRPr="000844FE">
        <w:rPr>
          <w:rFonts w:cs="Arial"/>
          <w:szCs w:val="24"/>
        </w:rPr>
        <w:t xml:space="preserve">Three projects concerned the construction and operation of Supported Living </w:t>
      </w:r>
      <w:r w:rsidR="004E7EA4" w:rsidRPr="000844FE">
        <w:rPr>
          <w:rFonts w:cs="Arial"/>
          <w:szCs w:val="24"/>
        </w:rPr>
        <w:t>Shelters</w:t>
      </w:r>
      <w:r w:rsidR="0082688E" w:rsidRPr="000844FE">
        <w:rPr>
          <w:rStyle w:val="FootnoteReference"/>
          <w:rFonts w:eastAsiaTheme="majorEastAsia" w:cs="Arial"/>
          <w:sz w:val="24"/>
          <w:szCs w:val="24"/>
        </w:rPr>
        <w:footnoteReference w:id="45"/>
      </w:r>
      <w:r w:rsidR="0082688E" w:rsidRPr="000844FE">
        <w:rPr>
          <w:rFonts w:cs="Arial"/>
          <w:szCs w:val="24"/>
        </w:rPr>
        <w:t xml:space="preserve"> while </w:t>
      </w:r>
      <w:proofErr w:type="gramStart"/>
      <w:r w:rsidR="0082688E" w:rsidRPr="000844FE">
        <w:rPr>
          <w:rFonts w:cs="Arial"/>
          <w:szCs w:val="24"/>
        </w:rPr>
        <w:t>the majority of</w:t>
      </w:r>
      <w:proofErr w:type="gramEnd"/>
      <w:r w:rsidR="0082688E" w:rsidRPr="000844FE">
        <w:rPr>
          <w:rFonts w:cs="Arial"/>
          <w:szCs w:val="24"/>
        </w:rPr>
        <w:t xml:space="preserve"> projects concern the funding of Day Care Centre</w:t>
      </w:r>
      <w:r w:rsidR="00D35D47" w:rsidRPr="000844FE">
        <w:rPr>
          <w:rFonts w:cs="Arial"/>
          <w:szCs w:val="24"/>
        </w:rPr>
        <w:t>s</w:t>
      </w:r>
      <w:r w:rsidR="0082688E" w:rsidRPr="000844FE">
        <w:rPr>
          <w:rFonts w:cs="Arial"/>
          <w:b/>
          <w:szCs w:val="24"/>
        </w:rPr>
        <w:t xml:space="preserve"> </w:t>
      </w:r>
      <w:r w:rsidR="0082688E" w:rsidRPr="000844FE">
        <w:rPr>
          <w:rFonts w:cs="Arial"/>
          <w:szCs w:val="24"/>
        </w:rPr>
        <w:t xml:space="preserve">for persons with Disabilities (54 structures </w:t>
      </w:r>
      <w:r w:rsidR="0082688E" w:rsidRPr="000844FE">
        <w:rPr>
          <w:rFonts w:cs="Arial"/>
          <w:szCs w:val="24"/>
        </w:rPr>
        <w:lastRenderedPageBreak/>
        <w:t>funded across regions) and respective</w:t>
      </w:r>
      <w:r w:rsidR="00D35D47" w:rsidRPr="000844FE">
        <w:rPr>
          <w:rFonts w:cs="Arial"/>
          <w:szCs w:val="24"/>
        </w:rPr>
        <w:t>ly</w:t>
      </w:r>
      <w:r w:rsidR="0082688E" w:rsidRPr="000844FE">
        <w:rPr>
          <w:rFonts w:cs="Arial"/>
          <w:szCs w:val="24"/>
        </w:rPr>
        <w:t xml:space="preserve"> Day care Centre for children and youth </w:t>
      </w:r>
      <w:r w:rsidR="00D35D47" w:rsidRPr="000844FE">
        <w:rPr>
          <w:rFonts w:cs="Arial"/>
          <w:szCs w:val="24"/>
        </w:rPr>
        <w:t xml:space="preserve">(another </w:t>
      </w:r>
      <w:r w:rsidR="0082688E" w:rsidRPr="000844FE">
        <w:rPr>
          <w:rFonts w:cs="Arial"/>
          <w:szCs w:val="24"/>
        </w:rPr>
        <w:t>54 structures funded</w:t>
      </w:r>
      <w:r w:rsidR="0053377C" w:rsidRPr="000844FE">
        <w:rPr>
          <w:rFonts w:cs="Arial"/>
          <w:szCs w:val="24"/>
        </w:rPr>
        <w:t xml:space="preserve"> across the country) in the community.</w:t>
      </w:r>
    </w:p>
    <w:p w14:paraId="6AA0BD48" w14:textId="77777777" w:rsidR="00F50E2F" w:rsidRPr="000844FE" w:rsidRDefault="00F50E2F" w:rsidP="000844FE">
      <w:pPr>
        <w:rPr>
          <w:rFonts w:cs="Arial"/>
          <w:szCs w:val="24"/>
        </w:rPr>
      </w:pPr>
    </w:p>
    <w:p w14:paraId="228C6FC0" w14:textId="587DCB2A" w:rsidR="001F5B87" w:rsidRPr="000844FE" w:rsidRDefault="001F5B87" w:rsidP="00D1707C">
      <w:pPr>
        <w:pStyle w:val="ListParagraph"/>
        <w:numPr>
          <w:ilvl w:val="0"/>
          <w:numId w:val="33"/>
        </w:numPr>
        <w:ind w:left="567" w:hanging="567"/>
        <w:rPr>
          <w:rFonts w:cs="Arial"/>
          <w:szCs w:val="24"/>
        </w:rPr>
      </w:pPr>
      <w:r w:rsidRPr="000844FE">
        <w:rPr>
          <w:rFonts w:cs="Arial"/>
          <w:szCs w:val="24"/>
        </w:rPr>
        <w:t xml:space="preserve">Supported Living Shelters for Persons with Intellectual Impairment </w:t>
      </w:r>
    </w:p>
    <w:p w14:paraId="1112348E" w14:textId="77777777" w:rsidR="00D1707C" w:rsidRDefault="00D1707C" w:rsidP="000844FE">
      <w:pPr>
        <w:rPr>
          <w:rFonts w:cs="Arial"/>
          <w:szCs w:val="24"/>
        </w:rPr>
      </w:pPr>
    </w:p>
    <w:p w14:paraId="3DCCEDD6" w14:textId="3EA349AD" w:rsidR="001F5B87" w:rsidRPr="000844FE" w:rsidRDefault="001F5B87" w:rsidP="000844FE">
      <w:pPr>
        <w:rPr>
          <w:rFonts w:cs="Arial"/>
          <w:szCs w:val="24"/>
        </w:rPr>
      </w:pPr>
      <w:r w:rsidRPr="000844FE">
        <w:rPr>
          <w:rFonts w:cs="Arial"/>
          <w:szCs w:val="24"/>
        </w:rPr>
        <w:t xml:space="preserve">The project concerns </w:t>
      </w:r>
      <w:r w:rsidR="00F50E2F" w:rsidRPr="000844FE">
        <w:rPr>
          <w:rFonts w:cs="Arial"/>
          <w:szCs w:val="24"/>
        </w:rPr>
        <w:t>community-based</w:t>
      </w:r>
      <w:r w:rsidRPr="000844FE">
        <w:rPr>
          <w:rFonts w:cs="Arial"/>
          <w:szCs w:val="24"/>
        </w:rPr>
        <w:t xml:space="preserve"> shelter and support services to prevent institutionalisation of this target group. Three one-year projects are being funded in the regions of Attika, Central Macedonia and Western Macedonia </w:t>
      </w:r>
      <w:r w:rsidR="00E87175" w:rsidRPr="000844FE">
        <w:rPr>
          <w:rFonts w:cs="Arial"/>
          <w:szCs w:val="24"/>
        </w:rPr>
        <w:t>by the respective regional operational programs (ERDF 80</w:t>
      </w:r>
      <w:r w:rsidR="00D1707C">
        <w:rPr>
          <w:rFonts w:cs="Arial"/>
          <w:szCs w:val="24"/>
        </w:rPr>
        <w:t xml:space="preserve"> </w:t>
      </w:r>
      <w:r w:rsidR="00E87175" w:rsidRPr="000844FE">
        <w:rPr>
          <w:rFonts w:cs="Arial"/>
          <w:szCs w:val="24"/>
        </w:rPr>
        <w:t>%)</w:t>
      </w:r>
      <w:r w:rsidRPr="000844FE">
        <w:rPr>
          <w:rFonts w:cs="Arial"/>
          <w:szCs w:val="24"/>
        </w:rPr>
        <w:t>, to be completed by April 2019.</w:t>
      </w:r>
      <w:r w:rsidR="008271EC" w:rsidRPr="000844FE">
        <w:rPr>
          <w:rFonts w:cs="Arial"/>
          <w:szCs w:val="24"/>
        </w:rPr>
        <w:t xml:space="preserve"> The i</w:t>
      </w:r>
      <w:r w:rsidR="00E87175" w:rsidRPr="000844FE">
        <w:rPr>
          <w:rFonts w:cs="Arial"/>
          <w:szCs w:val="24"/>
        </w:rPr>
        <w:t>mplementing bodies are the</w:t>
      </w:r>
      <w:r w:rsidR="008271EC" w:rsidRPr="000844FE">
        <w:rPr>
          <w:rFonts w:cs="Arial"/>
          <w:szCs w:val="24"/>
        </w:rPr>
        <w:t xml:space="preserve"> muni</w:t>
      </w:r>
      <w:r w:rsidR="00E87175" w:rsidRPr="000844FE">
        <w:rPr>
          <w:rFonts w:cs="Arial"/>
          <w:szCs w:val="24"/>
        </w:rPr>
        <w:t>cipality or regional authority</w:t>
      </w:r>
      <w:r w:rsidR="008271EC" w:rsidRPr="000844FE">
        <w:rPr>
          <w:rFonts w:cs="Arial"/>
          <w:szCs w:val="24"/>
        </w:rPr>
        <w:t>.</w:t>
      </w:r>
    </w:p>
    <w:p w14:paraId="53CC240F" w14:textId="77777777" w:rsidR="001F5B87" w:rsidRPr="000844FE" w:rsidRDefault="001F5B87" w:rsidP="000844FE">
      <w:pPr>
        <w:rPr>
          <w:rFonts w:cs="Arial"/>
          <w:szCs w:val="24"/>
        </w:rPr>
      </w:pPr>
    </w:p>
    <w:p w14:paraId="4A1B8F74" w14:textId="28EAC0BD" w:rsidR="001F5B87" w:rsidRPr="000844FE" w:rsidRDefault="00857344" w:rsidP="000844FE">
      <w:pPr>
        <w:rPr>
          <w:rFonts w:cs="Arial"/>
          <w:szCs w:val="24"/>
        </w:rPr>
      </w:pPr>
      <w:r w:rsidRPr="000844FE">
        <w:rPr>
          <w:rFonts w:cs="Arial"/>
          <w:szCs w:val="24"/>
        </w:rPr>
        <w:t xml:space="preserve">Shelter capacity </w:t>
      </w:r>
      <w:r w:rsidR="001F5B87" w:rsidRPr="000844FE">
        <w:rPr>
          <w:rFonts w:cs="Arial"/>
          <w:szCs w:val="24"/>
        </w:rPr>
        <w:t>ranges from four to 12 individuals, with 24 places in total.</w:t>
      </w:r>
      <w:r w:rsidR="008860AA" w:rsidRPr="000844FE">
        <w:rPr>
          <w:rFonts w:cs="Arial"/>
          <w:szCs w:val="24"/>
        </w:rPr>
        <w:t xml:space="preserve"> </w:t>
      </w:r>
      <w:r w:rsidR="001F5B87" w:rsidRPr="000844FE">
        <w:rPr>
          <w:rFonts w:cs="Arial"/>
          <w:szCs w:val="24"/>
        </w:rPr>
        <w:t xml:space="preserve">In total, the projects have a budget of </w:t>
      </w:r>
      <w:r w:rsidR="00D1707C">
        <w:rPr>
          <w:rFonts w:cs="Arial"/>
          <w:szCs w:val="24"/>
        </w:rPr>
        <w:t>EUR</w:t>
      </w:r>
      <w:r w:rsidR="001F5B87" w:rsidRPr="000844FE">
        <w:rPr>
          <w:rFonts w:cs="Arial"/>
          <w:szCs w:val="24"/>
        </w:rPr>
        <w:t xml:space="preserve"> 5,153,239 and include costs for purchase of building, construction and renovation costs and operational costs. Worth noting that the project in Western Macedonia includes in its plan the operation of a Day Care centre in parallel.</w:t>
      </w:r>
    </w:p>
    <w:p w14:paraId="1E5B3E44" w14:textId="77777777" w:rsidR="001F5B87" w:rsidRPr="000844FE" w:rsidRDefault="001F5B87" w:rsidP="000844FE">
      <w:pPr>
        <w:rPr>
          <w:rFonts w:cs="Arial"/>
          <w:szCs w:val="24"/>
        </w:rPr>
      </w:pPr>
    </w:p>
    <w:p w14:paraId="7F9B820D" w14:textId="5AB7A6C6" w:rsidR="00FB7CF9" w:rsidRPr="000844FE" w:rsidRDefault="00336D85" w:rsidP="00D1707C">
      <w:pPr>
        <w:pStyle w:val="ListParagraph"/>
        <w:numPr>
          <w:ilvl w:val="0"/>
          <w:numId w:val="33"/>
        </w:numPr>
        <w:ind w:left="567" w:hanging="567"/>
        <w:rPr>
          <w:rFonts w:cs="Arial"/>
          <w:szCs w:val="24"/>
        </w:rPr>
      </w:pPr>
      <w:r w:rsidRPr="000844FE">
        <w:rPr>
          <w:rFonts w:cs="Arial"/>
          <w:szCs w:val="24"/>
        </w:rPr>
        <w:t xml:space="preserve"> </w:t>
      </w:r>
      <w:r w:rsidR="001F5B87" w:rsidRPr="000844FE">
        <w:rPr>
          <w:rFonts w:cs="Arial"/>
          <w:szCs w:val="24"/>
        </w:rPr>
        <w:t>Harmonisation of Family and Work life</w:t>
      </w:r>
      <w:r w:rsidR="00FB7CF9" w:rsidRPr="000844FE">
        <w:rPr>
          <w:rFonts w:cs="Arial"/>
          <w:szCs w:val="24"/>
        </w:rPr>
        <w:t xml:space="preserve"> </w:t>
      </w:r>
    </w:p>
    <w:p w14:paraId="42C53DAB" w14:textId="77777777" w:rsidR="00D1707C" w:rsidRDefault="00D1707C" w:rsidP="000844FE">
      <w:pPr>
        <w:rPr>
          <w:rFonts w:cs="Arial"/>
          <w:szCs w:val="24"/>
        </w:rPr>
      </w:pPr>
    </w:p>
    <w:p w14:paraId="1FAB3D72" w14:textId="50F0D918" w:rsidR="00A7436C" w:rsidRPr="000844FE" w:rsidRDefault="00FB7CF9" w:rsidP="000844FE">
      <w:pPr>
        <w:rPr>
          <w:rFonts w:cs="Arial"/>
          <w:szCs w:val="24"/>
        </w:rPr>
      </w:pPr>
      <w:r w:rsidRPr="000844FE">
        <w:rPr>
          <w:rFonts w:cs="Arial"/>
          <w:szCs w:val="24"/>
        </w:rPr>
        <w:t xml:space="preserve">Projects </w:t>
      </w:r>
      <w:r w:rsidR="00A7436C" w:rsidRPr="000844FE">
        <w:rPr>
          <w:rFonts w:cs="Arial"/>
          <w:szCs w:val="24"/>
        </w:rPr>
        <w:t xml:space="preserve">(54) </w:t>
      </w:r>
      <w:r w:rsidRPr="000844FE">
        <w:rPr>
          <w:rFonts w:cs="Arial"/>
          <w:szCs w:val="24"/>
        </w:rPr>
        <w:t xml:space="preserve">funded under this heading are primarily addressed to female </w:t>
      </w:r>
      <w:r w:rsidR="008860AA" w:rsidRPr="000844FE">
        <w:rPr>
          <w:rFonts w:cs="Arial"/>
          <w:szCs w:val="24"/>
        </w:rPr>
        <w:t>parents or</w:t>
      </w:r>
      <w:r w:rsidR="001F5B87" w:rsidRPr="000844FE">
        <w:rPr>
          <w:rFonts w:cs="Arial"/>
          <w:szCs w:val="24"/>
        </w:rPr>
        <w:t xml:space="preserve"> caregivers below the threshold of poverty</w:t>
      </w:r>
      <w:r w:rsidRPr="000844FE">
        <w:rPr>
          <w:rFonts w:cs="Arial"/>
          <w:szCs w:val="24"/>
        </w:rPr>
        <w:t>. Support is provided in the form of</w:t>
      </w:r>
      <w:r w:rsidR="001F5B87" w:rsidRPr="000844FE">
        <w:rPr>
          <w:rFonts w:cs="Arial"/>
          <w:szCs w:val="24"/>
        </w:rPr>
        <w:t xml:space="preserve"> “vouchers” for the placement of children</w:t>
      </w:r>
      <w:r w:rsidRPr="000844FE">
        <w:rPr>
          <w:rFonts w:cs="Arial"/>
          <w:szCs w:val="24"/>
        </w:rPr>
        <w:t xml:space="preserve"> with disabilities</w:t>
      </w:r>
      <w:r w:rsidR="001F5B87" w:rsidRPr="000844FE">
        <w:rPr>
          <w:rFonts w:cs="Arial"/>
          <w:szCs w:val="24"/>
        </w:rPr>
        <w:t xml:space="preserve"> in pre-school age in rel</w:t>
      </w:r>
      <w:r w:rsidRPr="000844FE">
        <w:rPr>
          <w:rFonts w:cs="Arial"/>
          <w:szCs w:val="24"/>
        </w:rPr>
        <w:t xml:space="preserve">evant structures </w:t>
      </w:r>
      <w:r w:rsidR="001F5B87" w:rsidRPr="000844FE">
        <w:rPr>
          <w:rFonts w:cs="Arial"/>
          <w:szCs w:val="24"/>
        </w:rPr>
        <w:t>(KDAP)</w:t>
      </w:r>
      <w:r w:rsidRPr="000844FE">
        <w:rPr>
          <w:rFonts w:cs="Arial"/>
          <w:szCs w:val="24"/>
        </w:rPr>
        <w:t>.</w:t>
      </w:r>
      <w:r w:rsidR="008860AA" w:rsidRPr="000844FE">
        <w:rPr>
          <w:rFonts w:cs="Arial"/>
          <w:szCs w:val="24"/>
        </w:rPr>
        <w:t xml:space="preserve"> </w:t>
      </w:r>
    </w:p>
    <w:p w14:paraId="68AB06F8" w14:textId="77777777" w:rsidR="00A7436C" w:rsidRPr="000844FE" w:rsidRDefault="00A7436C" w:rsidP="000844FE">
      <w:pPr>
        <w:rPr>
          <w:rFonts w:cs="Arial"/>
          <w:szCs w:val="24"/>
        </w:rPr>
      </w:pPr>
    </w:p>
    <w:p w14:paraId="485A27DE" w14:textId="12F92818" w:rsidR="001F5B87" w:rsidRPr="000844FE" w:rsidRDefault="008860AA" w:rsidP="000844FE">
      <w:pPr>
        <w:rPr>
          <w:rFonts w:cs="Arial"/>
          <w:szCs w:val="24"/>
        </w:rPr>
      </w:pPr>
      <w:r w:rsidRPr="000844FE">
        <w:rPr>
          <w:rFonts w:cs="Arial"/>
          <w:szCs w:val="24"/>
        </w:rPr>
        <w:t>The</w:t>
      </w:r>
      <w:r w:rsidR="001F5B87" w:rsidRPr="000844FE">
        <w:rPr>
          <w:rFonts w:cs="Arial"/>
          <w:szCs w:val="24"/>
        </w:rPr>
        <w:t xml:space="preserve"> Hellenic Agency for Local Development and local government </w:t>
      </w:r>
      <w:r w:rsidR="00E64B7E" w:rsidRPr="000844FE">
        <w:rPr>
          <w:rFonts w:cs="Arial"/>
          <w:szCs w:val="24"/>
        </w:rPr>
        <w:t>is the implementing body</w:t>
      </w:r>
      <w:r w:rsidR="00482470" w:rsidRPr="000844FE">
        <w:rPr>
          <w:rFonts w:cs="Arial"/>
          <w:szCs w:val="24"/>
        </w:rPr>
        <w:t xml:space="preserve"> across regions</w:t>
      </w:r>
      <w:r w:rsidR="00E64B7E" w:rsidRPr="000844FE">
        <w:rPr>
          <w:rFonts w:cs="Arial"/>
          <w:szCs w:val="24"/>
        </w:rPr>
        <w:t xml:space="preserve">. The project is co-funded by </w:t>
      </w:r>
      <w:r w:rsidR="001F5B87" w:rsidRPr="000844FE">
        <w:rPr>
          <w:rFonts w:cs="Arial"/>
          <w:szCs w:val="24"/>
        </w:rPr>
        <w:t>E</w:t>
      </w:r>
      <w:r w:rsidR="00960928" w:rsidRPr="000844FE">
        <w:rPr>
          <w:rFonts w:cs="Arial"/>
          <w:szCs w:val="24"/>
        </w:rPr>
        <w:t>S</w:t>
      </w:r>
      <w:r w:rsidR="001F5B87" w:rsidRPr="000844FE">
        <w:rPr>
          <w:rFonts w:cs="Arial"/>
          <w:szCs w:val="24"/>
        </w:rPr>
        <w:t xml:space="preserve">F </w:t>
      </w:r>
      <w:r w:rsidR="00960928" w:rsidRPr="000844FE">
        <w:rPr>
          <w:rFonts w:cs="Arial"/>
          <w:szCs w:val="24"/>
        </w:rPr>
        <w:t xml:space="preserve">at </w:t>
      </w:r>
      <w:r w:rsidR="001F5B87" w:rsidRPr="000844FE">
        <w:rPr>
          <w:rFonts w:cs="Arial"/>
          <w:szCs w:val="24"/>
        </w:rPr>
        <w:t>50</w:t>
      </w:r>
      <w:r w:rsidR="00D1707C">
        <w:rPr>
          <w:rFonts w:cs="Arial"/>
          <w:szCs w:val="24"/>
        </w:rPr>
        <w:t xml:space="preserve"> </w:t>
      </w:r>
      <w:r w:rsidR="001F5B87" w:rsidRPr="000844FE">
        <w:rPr>
          <w:rFonts w:cs="Arial"/>
          <w:szCs w:val="24"/>
        </w:rPr>
        <w:t>% or 80</w:t>
      </w:r>
      <w:r w:rsidR="00D1707C">
        <w:rPr>
          <w:rFonts w:cs="Arial"/>
          <w:szCs w:val="24"/>
        </w:rPr>
        <w:t xml:space="preserve"> </w:t>
      </w:r>
      <w:r w:rsidR="001F5B87" w:rsidRPr="000844FE">
        <w:rPr>
          <w:rFonts w:cs="Arial"/>
          <w:szCs w:val="24"/>
        </w:rPr>
        <w:t>%</w:t>
      </w:r>
      <w:r w:rsidR="00E64B7E" w:rsidRPr="000844FE">
        <w:rPr>
          <w:rFonts w:cs="Arial"/>
          <w:szCs w:val="24"/>
        </w:rPr>
        <w:t xml:space="preserve"> </w:t>
      </w:r>
      <w:r w:rsidR="00A7436C" w:rsidRPr="000844FE">
        <w:rPr>
          <w:rFonts w:cs="Arial"/>
          <w:szCs w:val="24"/>
        </w:rPr>
        <w:t xml:space="preserve">with a total budget of </w:t>
      </w:r>
      <w:r w:rsidR="00D1707C">
        <w:rPr>
          <w:rFonts w:cs="Arial"/>
          <w:szCs w:val="24"/>
        </w:rPr>
        <w:t xml:space="preserve">EUR </w:t>
      </w:r>
      <w:r w:rsidR="00A7436C" w:rsidRPr="000844FE">
        <w:rPr>
          <w:rFonts w:cs="Arial"/>
          <w:szCs w:val="24"/>
        </w:rPr>
        <w:t>135,519,640</w:t>
      </w:r>
      <w:r w:rsidR="0053377C" w:rsidRPr="000844FE">
        <w:rPr>
          <w:rFonts w:cs="Arial"/>
          <w:szCs w:val="24"/>
        </w:rPr>
        <w:t>.</w:t>
      </w:r>
    </w:p>
    <w:p w14:paraId="45B845E4" w14:textId="77777777" w:rsidR="001F5B87" w:rsidRPr="000844FE" w:rsidRDefault="001F5B87" w:rsidP="000844FE">
      <w:pPr>
        <w:rPr>
          <w:rFonts w:cs="Arial"/>
          <w:szCs w:val="24"/>
        </w:rPr>
      </w:pPr>
    </w:p>
    <w:p w14:paraId="495E184A" w14:textId="2FC674D4" w:rsidR="001F5B87" w:rsidRPr="000844FE" w:rsidRDefault="001F5B87" w:rsidP="00D1707C">
      <w:pPr>
        <w:pStyle w:val="ListParagraph"/>
        <w:numPr>
          <w:ilvl w:val="0"/>
          <w:numId w:val="33"/>
        </w:numPr>
        <w:ind w:left="567" w:hanging="567"/>
        <w:rPr>
          <w:rFonts w:cs="Arial"/>
          <w:szCs w:val="24"/>
        </w:rPr>
      </w:pPr>
      <w:r w:rsidRPr="000844FE">
        <w:rPr>
          <w:rFonts w:cs="Arial"/>
          <w:szCs w:val="24"/>
        </w:rPr>
        <w:t xml:space="preserve">Day Care Centres for Persons with Disabilities (Adults) </w:t>
      </w:r>
    </w:p>
    <w:p w14:paraId="0ADDBA6F" w14:textId="77777777" w:rsidR="00D1707C" w:rsidRDefault="00D1707C" w:rsidP="000844FE">
      <w:pPr>
        <w:rPr>
          <w:rFonts w:cs="Arial"/>
          <w:szCs w:val="24"/>
        </w:rPr>
      </w:pPr>
    </w:p>
    <w:p w14:paraId="6DCBDE3D" w14:textId="62B78061" w:rsidR="00E96B1A" w:rsidRPr="000844FE" w:rsidRDefault="00E96B1A" w:rsidP="000844FE">
      <w:pPr>
        <w:rPr>
          <w:rFonts w:cs="Arial"/>
          <w:szCs w:val="24"/>
        </w:rPr>
      </w:pPr>
      <w:r w:rsidRPr="000844FE">
        <w:rPr>
          <w:rFonts w:cs="Arial"/>
          <w:szCs w:val="24"/>
        </w:rPr>
        <w:t xml:space="preserve">The specific objectives of those projects </w:t>
      </w:r>
      <w:r w:rsidR="00F50E2F">
        <w:rPr>
          <w:rFonts w:cs="Arial"/>
          <w:szCs w:val="24"/>
        </w:rPr>
        <w:t>are,</w:t>
      </w:r>
      <w:r w:rsidRPr="000844FE">
        <w:rPr>
          <w:rFonts w:cs="Arial"/>
          <w:szCs w:val="24"/>
        </w:rPr>
        <w:t xml:space="preserve"> to i</w:t>
      </w:r>
      <w:r w:rsidR="001F5B87" w:rsidRPr="000844FE">
        <w:rPr>
          <w:rFonts w:cs="Arial"/>
          <w:szCs w:val="24"/>
        </w:rPr>
        <w:t>mprove the quality of life of persons with disab</w:t>
      </w:r>
      <w:r w:rsidRPr="000844FE">
        <w:rPr>
          <w:rFonts w:cs="Arial"/>
          <w:szCs w:val="24"/>
        </w:rPr>
        <w:t>ility who need support services and prevent institutionalisation and/ or social exclusion; c</w:t>
      </w:r>
      <w:r w:rsidR="001F5B87" w:rsidRPr="000844FE">
        <w:rPr>
          <w:rFonts w:cs="Arial"/>
          <w:szCs w:val="24"/>
        </w:rPr>
        <w:t>ombat discrimination and p</w:t>
      </w:r>
      <w:r w:rsidRPr="000844FE">
        <w:rPr>
          <w:rFonts w:cs="Arial"/>
          <w:szCs w:val="24"/>
        </w:rPr>
        <w:t>romote equality of opportunity.</w:t>
      </w:r>
    </w:p>
    <w:p w14:paraId="5D46BE89" w14:textId="77777777" w:rsidR="00E96B1A" w:rsidRPr="000844FE" w:rsidRDefault="00E96B1A" w:rsidP="000844FE">
      <w:pPr>
        <w:rPr>
          <w:rFonts w:cs="Arial"/>
          <w:szCs w:val="24"/>
        </w:rPr>
      </w:pPr>
    </w:p>
    <w:p w14:paraId="79DE1DB1" w14:textId="1A494785" w:rsidR="001F5B87" w:rsidRPr="000844FE" w:rsidRDefault="001F5B87" w:rsidP="000844FE">
      <w:pPr>
        <w:rPr>
          <w:rFonts w:cs="Arial"/>
          <w:szCs w:val="24"/>
        </w:rPr>
      </w:pPr>
      <w:r w:rsidRPr="000844FE">
        <w:rPr>
          <w:rFonts w:cs="Arial"/>
          <w:szCs w:val="24"/>
        </w:rPr>
        <w:t>54 projects</w:t>
      </w:r>
      <w:r w:rsidR="00E96B1A" w:rsidRPr="000844FE">
        <w:rPr>
          <w:rFonts w:cs="Arial"/>
          <w:szCs w:val="24"/>
        </w:rPr>
        <w:t xml:space="preserve"> were identified in the approved program list</w:t>
      </w:r>
      <w:r w:rsidRPr="000844FE">
        <w:rPr>
          <w:rFonts w:cs="Arial"/>
          <w:szCs w:val="24"/>
        </w:rPr>
        <w:t xml:space="preserve"> across the country</w:t>
      </w:r>
      <w:r w:rsidR="009F3909" w:rsidRPr="000844FE">
        <w:rPr>
          <w:rFonts w:cs="Arial"/>
          <w:szCs w:val="24"/>
        </w:rPr>
        <w:t>, implemented by civil society actors,</w:t>
      </w:r>
      <w:r w:rsidRPr="000844FE">
        <w:rPr>
          <w:rFonts w:cs="Arial"/>
          <w:szCs w:val="24"/>
        </w:rPr>
        <w:t xml:space="preserve"> with a total budget </w:t>
      </w:r>
      <w:r w:rsidR="00D1707C">
        <w:rPr>
          <w:rFonts w:cs="Arial"/>
          <w:szCs w:val="24"/>
        </w:rPr>
        <w:t>EUR</w:t>
      </w:r>
      <w:r w:rsidR="0041481D" w:rsidRPr="000844FE">
        <w:rPr>
          <w:rFonts w:cs="Arial"/>
          <w:szCs w:val="24"/>
        </w:rPr>
        <w:t xml:space="preserve"> 40,180,857</w:t>
      </w:r>
      <w:r w:rsidR="009F3909" w:rsidRPr="000844FE">
        <w:rPr>
          <w:rFonts w:cs="Arial"/>
          <w:szCs w:val="24"/>
        </w:rPr>
        <w:t xml:space="preserve"> (</w:t>
      </w:r>
      <w:r w:rsidRPr="000844FE">
        <w:rPr>
          <w:rFonts w:cs="Arial"/>
          <w:szCs w:val="24"/>
        </w:rPr>
        <w:t>80</w:t>
      </w:r>
      <w:r w:rsidR="00D1707C">
        <w:rPr>
          <w:rFonts w:cs="Arial"/>
          <w:szCs w:val="24"/>
        </w:rPr>
        <w:t xml:space="preserve"> </w:t>
      </w:r>
      <w:r w:rsidRPr="000844FE">
        <w:rPr>
          <w:rFonts w:cs="Arial"/>
          <w:szCs w:val="24"/>
        </w:rPr>
        <w:t xml:space="preserve">% </w:t>
      </w:r>
      <w:r w:rsidR="0041481D" w:rsidRPr="000844FE">
        <w:rPr>
          <w:rFonts w:cs="Arial"/>
          <w:szCs w:val="24"/>
        </w:rPr>
        <w:t>co-funded by</w:t>
      </w:r>
      <w:r w:rsidR="00E96B1A" w:rsidRPr="000844FE">
        <w:rPr>
          <w:rFonts w:cs="Arial"/>
          <w:szCs w:val="24"/>
        </w:rPr>
        <w:t xml:space="preserve"> ESF</w:t>
      </w:r>
      <w:r w:rsidR="009F3909" w:rsidRPr="000844FE">
        <w:rPr>
          <w:rFonts w:cs="Arial"/>
          <w:szCs w:val="24"/>
        </w:rPr>
        <w:t>)</w:t>
      </w:r>
      <w:r w:rsidR="00E96B1A" w:rsidRPr="000844FE">
        <w:rPr>
          <w:rFonts w:cs="Arial"/>
          <w:szCs w:val="24"/>
        </w:rPr>
        <w:t>.</w:t>
      </w:r>
    </w:p>
    <w:p w14:paraId="4F6E9DC8" w14:textId="699C5B3C" w:rsidR="0028383F" w:rsidRPr="000844FE" w:rsidRDefault="0028383F" w:rsidP="000844FE">
      <w:pPr>
        <w:rPr>
          <w:rFonts w:cs="Arial"/>
          <w:szCs w:val="24"/>
        </w:rPr>
      </w:pPr>
    </w:p>
    <w:p w14:paraId="68C81C6A" w14:textId="702C8CDC" w:rsidR="008E4ACD" w:rsidRPr="000844FE" w:rsidRDefault="008E4ACD" w:rsidP="00D1707C">
      <w:pPr>
        <w:pStyle w:val="Heading2"/>
      </w:pPr>
      <w:bookmarkStart w:id="29" w:name="_Toc529874068"/>
      <w:bookmarkStart w:id="30" w:name="_Toc7608762"/>
      <w:r w:rsidRPr="000844FE">
        <w:t>Overview of other relevant measures since 2013</w:t>
      </w:r>
      <w:bookmarkEnd w:id="29"/>
      <w:bookmarkEnd w:id="30"/>
    </w:p>
    <w:p w14:paraId="5FF7069E" w14:textId="7824CF2D" w:rsidR="008E4ACD" w:rsidRPr="000844FE" w:rsidRDefault="008E4ACD" w:rsidP="00D1707C"/>
    <w:p w14:paraId="58EA440D" w14:textId="51164D29" w:rsidR="00FA142E" w:rsidRPr="000844FE" w:rsidRDefault="00FA142E" w:rsidP="000844FE">
      <w:pPr>
        <w:rPr>
          <w:rFonts w:cs="Arial"/>
          <w:szCs w:val="24"/>
        </w:rPr>
      </w:pPr>
      <w:r w:rsidRPr="000844FE">
        <w:rPr>
          <w:rFonts w:cs="Arial"/>
          <w:szCs w:val="24"/>
        </w:rPr>
        <w:t>Please note the following information</w:t>
      </w:r>
      <w:r w:rsidR="0053377C" w:rsidRPr="000844FE">
        <w:rPr>
          <w:rFonts w:cs="Arial"/>
          <w:szCs w:val="24"/>
        </w:rPr>
        <w:t xml:space="preserve"> is retrieved from DOTCOM, Greece</w:t>
      </w:r>
      <w:r w:rsidR="00D1707C">
        <w:rPr>
          <w:rFonts w:cs="Arial"/>
          <w:szCs w:val="24"/>
        </w:rPr>
        <w:t>.</w:t>
      </w:r>
      <w:r w:rsidR="004B1C97" w:rsidRPr="000844FE">
        <w:rPr>
          <w:rStyle w:val="FootnoteReference"/>
          <w:rFonts w:cs="Arial"/>
          <w:sz w:val="24"/>
          <w:szCs w:val="24"/>
        </w:rPr>
        <w:footnoteReference w:id="46"/>
      </w:r>
    </w:p>
    <w:p w14:paraId="18929D4E" w14:textId="77777777" w:rsidR="00674CD7" w:rsidRPr="000844FE" w:rsidRDefault="00674CD7" w:rsidP="000844FE">
      <w:pPr>
        <w:rPr>
          <w:rFonts w:cs="Arial"/>
          <w:szCs w:val="24"/>
        </w:rPr>
      </w:pPr>
    </w:p>
    <w:p w14:paraId="40FC13FD" w14:textId="77777777" w:rsidR="00674CD7" w:rsidRPr="000844FE" w:rsidRDefault="00674CD7" w:rsidP="000844FE">
      <w:pPr>
        <w:rPr>
          <w:rFonts w:cs="Arial"/>
          <w:szCs w:val="24"/>
        </w:rPr>
      </w:pPr>
      <w:r w:rsidRPr="000844FE">
        <w:rPr>
          <w:rFonts w:cs="Arial"/>
          <w:szCs w:val="24"/>
        </w:rPr>
        <w:t xml:space="preserve">Home help programmes for disabled people have operated on a local level since 2006 </w:t>
      </w:r>
      <w:proofErr w:type="gramStart"/>
      <w:r w:rsidRPr="000844FE">
        <w:rPr>
          <w:rFonts w:cs="Arial"/>
          <w:szCs w:val="24"/>
        </w:rPr>
        <w:t>providing assistance</w:t>
      </w:r>
      <w:proofErr w:type="gramEnd"/>
      <w:r w:rsidRPr="000844FE">
        <w:rPr>
          <w:rFonts w:cs="Arial"/>
          <w:szCs w:val="24"/>
        </w:rPr>
        <w:t xml:space="preserve"> strictly according to available resources. In 2011, home help programs were funded under the NSRF 2007-2013 priority for 'Harmonising family and professional life', rendering unemployed people (with family members who require assistance) as direct beneficiaries. In practice, disabled people living alone or whose family members were working were excluded from these services. </w:t>
      </w:r>
    </w:p>
    <w:p w14:paraId="52C9160F" w14:textId="1F087A43" w:rsidR="00674CD7" w:rsidRPr="000844FE" w:rsidRDefault="00674CD7" w:rsidP="000844FE">
      <w:pPr>
        <w:rPr>
          <w:rFonts w:cs="Arial"/>
          <w:szCs w:val="24"/>
        </w:rPr>
      </w:pPr>
      <w:r w:rsidRPr="000844FE">
        <w:rPr>
          <w:rFonts w:cs="Arial"/>
          <w:szCs w:val="24"/>
        </w:rPr>
        <w:lastRenderedPageBreak/>
        <w:t>In 2012, home help programs were substituted with the Support at Home for Pensioners program implemented by IKA</w:t>
      </w:r>
      <w:r w:rsidR="00FA142E" w:rsidRPr="000844FE">
        <w:rPr>
          <w:rStyle w:val="FootnoteReference"/>
          <w:rFonts w:cs="Arial"/>
          <w:sz w:val="24"/>
          <w:szCs w:val="24"/>
        </w:rPr>
        <w:footnoteReference w:id="47"/>
      </w:r>
      <w:r w:rsidRPr="000844FE">
        <w:rPr>
          <w:rFonts w:cs="Arial"/>
          <w:szCs w:val="24"/>
        </w:rPr>
        <w:t xml:space="preserve"> (main social security body of the Ministry of Employment). People eligible for this service are exclusively pensioners (covering most social security bodies of the public, private and agricultural sector), with 67</w:t>
      </w:r>
      <w:r w:rsidR="00D1707C">
        <w:rPr>
          <w:rFonts w:cs="Arial"/>
          <w:szCs w:val="24"/>
        </w:rPr>
        <w:t> </w:t>
      </w:r>
      <w:r w:rsidRPr="000844FE">
        <w:rPr>
          <w:rFonts w:cs="Arial"/>
          <w:szCs w:val="24"/>
        </w:rPr>
        <w:t>% disability or more, who live alone or have a spouse who has 67</w:t>
      </w:r>
      <w:r w:rsidR="00D1707C">
        <w:rPr>
          <w:rFonts w:cs="Arial"/>
          <w:szCs w:val="24"/>
        </w:rPr>
        <w:t xml:space="preserve"> </w:t>
      </w:r>
      <w:r w:rsidRPr="000844FE">
        <w:rPr>
          <w:rFonts w:cs="Arial"/>
          <w:szCs w:val="24"/>
        </w:rPr>
        <w:t xml:space="preserve">% disability, and their individual annual income does not exceed </w:t>
      </w:r>
      <w:r w:rsidR="00D1707C">
        <w:rPr>
          <w:rFonts w:cs="Arial"/>
          <w:szCs w:val="24"/>
        </w:rPr>
        <w:t xml:space="preserve">EUR </w:t>
      </w:r>
      <w:r w:rsidRPr="000844FE">
        <w:rPr>
          <w:rFonts w:cs="Arial"/>
          <w:szCs w:val="24"/>
        </w:rPr>
        <w:t>7,715.65 or double that amount for married couples. They should not, additionally, receive any disability support cash benefit (usually given to people with paraplegia/ tetraplegia or similar impairment with 67</w:t>
      </w:r>
      <w:r w:rsidR="00D1707C">
        <w:rPr>
          <w:rFonts w:cs="Arial"/>
          <w:szCs w:val="24"/>
        </w:rPr>
        <w:t> </w:t>
      </w:r>
      <w:r w:rsidRPr="000844FE">
        <w:rPr>
          <w:rFonts w:cs="Arial"/>
          <w:szCs w:val="24"/>
        </w:rPr>
        <w:t>% disability). It is evident that the program excludes a significant part of people with support needs, including those with severe physical impairments, those who are working as much as the unemployed/ uninsured, as well as people who do not live alone.</w:t>
      </w:r>
    </w:p>
    <w:p w14:paraId="2D8DD0F7" w14:textId="250F78F3" w:rsidR="00B5485B" w:rsidRPr="000844FE" w:rsidRDefault="00B5485B" w:rsidP="000844FE">
      <w:pPr>
        <w:rPr>
          <w:rFonts w:cs="Arial"/>
          <w:szCs w:val="24"/>
        </w:rPr>
      </w:pPr>
    </w:p>
    <w:p w14:paraId="648171BA" w14:textId="54B300EE" w:rsidR="00FA142E" w:rsidRPr="000844FE" w:rsidRDefault="00FA142E" w:rsidP="000844FE">
      <w:pPr>
        <w:rPr>
          <w:rFonts w:cs="Arial"/>
          <w:szCs w:val="24"/>
        </w:rPr>
      </w:pPr>
      <w:r w:rsidRPr="000844FE">
        <w:rPr>
          <w:rFonts w:cs="Arial"/>
          <w:szCs w:val="24"/>
        </w:rPr>
        <w:t xml:space="preserve">Indeed, </w:t>
      </w:r>
      <w:r w:rsidR="009B7504" w:rsidRPr="000844FE">
        <w:rPr>
          <w:rFonts w:cs="Arial"/>
          <w:szCs w:val="24"/>
        </w:rPr>
        <w:t>“</w:t>
      </w:r>
      <w:r w:rsidRPr="000844FE">
        <w:rPr>
          <w:rFonts w:cs="Arial"/>
          <w:szCs w:val="24"/>
        </w:rPr>
        <w:t>the extent to which home help assistance has adequately and effectively supported persons with disabilities remains unknown</w:t>
      </w:r>
      <w:r w:rsidR="00D1707C">
        <w:rPr>
          <w:rFonts w:cs="Arial"/>
          <w:szCs w:val="24"/>
        </w:rPr>
        <w:t>.</w:t>
      </w:r>
      <w:r w:rsidR="009B7504" w:rsidRPr="000844FE">
        <w:rPr>
          <w:rFonts w:cs="Arial"/>
          <w:szCs w:val="24"/>
        </w:rPr>
        <w:t>”</w:t>
      </w:r>
      <w:r w:rsidRPr="000844FE">
        <w:rPr>
          <w:rStyle w:val="FootnoteReference"/>
          <w:rFonts w:cs="Arial"/>
          <w:sz w:val="24"/>
          <w:szCs w:val="24"/>
        </w:rPr>
        <w:footnoteReference w:id="48"/>
      </w:r>
    </w:p>
    <w:p w14:paraId="64A3F719" w14:textId="77777777" w:rsidR="00FA142E" w:rsidRPr="000844FE" w:rsidRDefault="00FA142E" w:rsidP="000844FE">
      <w:pPr>
        <w:rPr>
          <w:rFonts w:cs="Arial"/>
          <w:b/>
          <w:szCs w:val="24"/>
        </w:rPr>
      </w:pPr>
    </w:p>
    <w:p w14:paraId="44A5CBF5" w14:textId="076B0CB2" w:rsidR="008E4ACD" w:rsidRPr="000844FE" w:rsidRDefault="008E4ACD" w:rsidP="00D1707C">
      <w:pPr>
        <w:pStyle w:val="Heading2"/>
      </w:pPr>
      <w:bookmarkStart w:id="31" w:name="_Toc529874069"/>
      <w:bookmarkStart w:id="32" w:name="_Toc7608763"/>
      <w:r w:rsidRPr="000844FE">
        <w:t>Monitoring mechanism</w:t>
      </w:r>
      <w:r w:rsidR="00B5485B" w:rsidRPr="000844FE">
        <w:t>s</w:t>
      </w:r>
      <w:r w:rsidRPr="000844FE">
        <w:t xml:space="preserve"> and approach</w:t>
      </w:r>
      <w:r w:rsidR="00B5485B" w:rsidRPr="000844FE">
        <w:t>es</w:t>
      </w:r>
      <w:bookmarkEnd w:id="31"/>
      <w:bookmarkEnd w:id="32"/>
    </w:p>
    <w:p w14:paraId="4B54F624" w14:textId="77777777" w:rsidR="00622FC0" w:rsidRPr="000844FE" w:rsidRDefault="00622FC0" w:rsidP="000844FE">
      <w:pPr>
        <w:rPr>
          <w:rFonts w:cs="Arial"/>
          <w:szCs w:val="24"/>
        </w:rPr>
      </w:pPr>
    </w:p>
    <w:p w14:paraId="278E5551" w14:textId="7867DBA2" w:rsidR="008E4ACD" w:rsidRPr="000844FE" w:rsidRDefault="008E4ACD" w:rsidP="000844FE">
      <w:pPr>
        <w:pStyle w:val="Heading3"/>
        <w:rPr>
          <w:rFonts w:cs="Arial"/>
          <w:szCs w:val="24"/>
        </w:rPr>
      </w:pPr>
      <w:r w:rsidRPr="000844FE">
        <w:rPr>
          <w:rFonts w:cs="Arial"/>
          <w:szCs w:val="24"/>
        </w:rPr>
        <w:t>Monitoring mechanism(s)</w:t>
      </w:r>
    </w:p>
    <w:p w14:paraId="1A6BB9B4" w14:textId="73C00CEB" w:rsidR="008E4ACD" w:rsidRPr="000844FE" w:rsidRDefault="008E4ACD" w:rsidP="000844FE">
      <w:pPr>
        <w:rPr>
          <w:rFonts w:cs="Arial"/>
          <w:szCs w:val="24"/>
        </w:rPr>
      </w:pPr>
    </w:p>
    <w:p w14:paraId="29BC9659" w14:textId="73F53F16" w:rsidR="00C93FDD" w:rsidRPr="000844FE" w:rsidRDefault="00283060" w:rsidP="000844FE">
      <w:pPr>
        <w:rPr>
          <w:rFonts w:cs="Arial"/>
          <w:szCs w:val="24"/>
        </w:rPr>
      </w:pPr>
      <w:r w:rsidRPr="000844FE">
        <w:rPr>
          <w:rFonts w:cs="Arial"/>
          <w:szCs w:val="24"/>
        </w:rPr>
        <w:t xml:space="preserve">The </w:t>
      </w:r>
      <w:r w:rsidR="00C93FDD" w:rsidRPr="000844FE">
        <w:rPr>
          <w:rFonts w:cs="Arial"/>
          <w:szCs w:val="24"/>
        </w:rPr>
        <w:t>monitoring body for th</w:t>
      </w:r>
      <w:r w:rsidR="009B7504" w:rsidRPr="000844FE">
        <w:rPr>
          <w:rFonts w:cs="Arial"/>
          <w:szCs w:val="24"/>
        </w:rPr>
        <w:t>e use of ESF</w:t>
      </w:r>
      <w:r w:rsidRPr="000844FE">
        <w:rPr>
          <w:rFonts w:cs="Arial"/>
          <w:szCs w:val="24"/>
        </w:rPr>
        <w:t xml:space="preserve">/ ERDF </w:t>
      </w:r>
      <w:r w:rsidR="009B7504" w:rsidRPr="000844FE">
        <w:rPr>
          <w:rFonts w:cs="Arial"/>
          <w:szCs w:val="24"/>
        </w:rPr>
        <w:t xml:space="preserve">funds </w:t>
      </w:r>
      <w:r w:rsidR="00285C68" w:rsidRPr="000844FE">
        <w:rPr>
          <w:rFonts w:cs="Arial"/>
          <w:szCs w:val="24"/>
        </w:rPr>
        <w:t xml:space="preserve">channelled through </w:t>
      </w:r>
      <w:r w:rsidR="009B7504" w:rsidRPr="000844FE">
        <w:rPr>
          <w:rFonts w:cs="Arial"/>
          <w:szCs w:val="24"/>
        </w:rPr>
        <w:t xml:space="preserve">the four </w:t>
      </w:r>
      <w:r w:rsidR="00C93FDD" w:rsidRPr="000844FE">
        <w:rPr>
          <w:rFonts w:cs="Arial"/>
          <w:szCs w:val="24"/>
        </w:rPr>
        <w:t xml:space="preserve">Sector Operational Programs and 13 Regional Operational Programs is </w:t>
      </w:r>
      <w:r w:rsidRPr="000844FE">
        <w:rPr>
          <w:rFonts w:cs="Arial"/>
          <w:szCs w:val="24"/>
        </w:rPr>
        <w:t>the Special Service for the Coordination and Monitoring of ESF funded actions (</w:t>
      </w:r>
      <w:r w:rsidR="00C93FDD" w:rsidRPr="000844FE">
        <w:rPr>
          <w:rFonts w:cs="Arial"/>
          <w:szCs w:val="24"/>
        </w:rPr>
        <w:t>EYSEKT</w:t>
      </w:r>
      <w:r w:rsidRPr="000844FE">
        <w:rPr>
          <w:rFonts w:cs="Arial"/>
          <w:szCs w:val="24"/>
        </w:rPr>
        <w:t>)</w:t>
      </w:r>
      <w:r w:rsidR="00D1707C">
        <w:rPr>
          <w:rFonts w:cs="Arial"/>
          <w:szCs w:val="24"/>
        </w:rPr>
        <w:t>.</w:t>
      </w:r>
      <w:r w:rsidRPr="000844FE">
        <w:rPr>
          <w:rStyle w:val="FootnoteReference"/>
          <w:rFonts w:cs="Arial"/>
          <w:sz w:val="24"/>
          <w:szCs w:val="24"/>
        </w:rPr>
        <w:footnoteReference w:id="49"/>
      </w:r>
      <w:r w:rsidR="00736D5B" w:rsidRPr="000844FE">
        <w:rPr>
          <w:rFonts w:cs="Arial"/>
          <w:szCs w:val="24"/>
        </w:rPr>
        <w:t xml:space="preserve"> Monitoring processes are established according to </w:t>
      </w:r>
      <w:r w:rsidR="0018027B" w:rsidRPr="000844FE">
        <w:rPr>
          <w:rFonts w:cs="Arial"/>
          <w:szCs w:val="24"/>
        </w:rPr>
        <w:t xml:space="preserve">EC </w:t>
      </w:r>
      <w:r w:rsidR="005C411C" w:rsidRPr="000844FE">
        <w:rPr>
          <w:rFonts w:cs="Arial"/>
          <w:szCs w:val="24"/>
        </w:rPr>
        <w:t>standards established in Greek law</w:t>
      </w:r>
      <w:r w:rsidR="00D1707C">
        <w:rPr>
          <w:rFonts w:cs="Arial"/>
          <w:szCs w:val="24"/>
        </w:rPr>
        <w:t>.</w:t>
      </w:r>
      <w:r w:rsidR="00736D5B" w:rsidRPr="000844FE">
        <w:rPr>
          <w:rStyle w:val="FootnoteReference"/>
          <w:rFonts w:cs="Arial"/>
          <w:sz w:val="24"/>
          <w:szCs w:val="24"/>
        </w:rPr>
        <w:footnoteReference w:id="50"/>
      </w:r>
    </w:p>
    <w:p w14:paraId="4011C7FD" w14:textId="233A6748" w:rsidR="00C93FDD" w:rsidRPr="000844FE" w:rsidRDefault="00C93FDD" w:rsidP="000844FE">
      <w:pPr>
        <w:ind w:firstLine="720"/>
        <w:rPr>
          <w:rFonts w:cs="Arial"/>
          <w:szCs w:val="24"/>
        </w:rPr>
      </w:pPr>
    </w:p>
    <w:p w14:paraId="20B86D58" w14:textId="2061496E" w:rsidR="00A04FE4" w:rsidRPr="000844FE" w:rsidRDefault="00136BE7" w:rsidP="000844FE">
      <w:pPr>
        <w:pStyle w:val="ListParagraph"/>
        <w:ind w:left="0"/>
        <w:rPr>
          <w:rFonts w:cs="Arial"/>
          <w:szCs w:val="24"/>
        </w:rPr>
      </w:pPr>
      <w:r w:rsidRPr="000844FE">
        <w:rPr>
          <w:rFonts w:cs="Arial"/>
          <w:szCs w:val="24"/>
        </w:rPr>
        <w:t xml:space="preserve">With regards to the </w:t>
      </w:r>
      <w:r w:rsidR="00C93FDD" w:rsidRPr="000844FE">
        <w:rPr>
          <w:rFonts w:cs="Arial"/>
          <w:szCs w:val="24"/>
        </w:rPr>
        <w:t>de-institutionalisation project</w:t>
      </w:r>
      <w:r w:rsidRPr="000844FE">
        <w:rPr>
          <w:rFonts w:cs="Arial"/>
          <w:szCs w:val="24"/>
        </w:rPr>
        <w:t xml:space="preserve"> approved in the Region of Attika (state funded), the relevant ministerial decision foresees a </w:t>
      </w:r>
      <w:r w:rsidR="00A04FE4" w:rsidRPr="000844FE">
        <w:rPr>
          <w:rFonts w:cs="Arial"/>
          <w:szCs w:val="24"/>
        </w:rPr>
        <w:t>monitoring committee comprised of two members of staff from each implementing Regional Authority and one member from the General Secretariat of Social Solidarity (Ministry of Labour and Social Solidarity).</w:t>
      </w:r>
      <w:r w:rsidR="00FD1C3D" w:rsidRPr="000844FE">
        <w:rPr>
          <w:rStyle w:val="FootnoteReference"/>
          <w:rFonts w:cs="Arial"/>
          <w:sz w:val="24"/>
          <w:szCs w:val="24"/>
        </w:rPr>
        <w:footnoteReference w:id="51"/>
      </w:r>
      <w:r w:rsidR="00A04FE4" w:rsidRPr="000844FE">
        <w:rPr>
          <w:rFonts w:cs="Arial"/>
          <w:szCs w:val="24"/>
        </w:rPr>
        <w:t xml:space="preserve"> The Committee is responsible for the systematic monitoring of the program, submission of performance and financial progress reports (every six months), and ensuring compliance with the project action plan.</w:t>
      </w:r>
    </w:p>
    <w:p w14:paraId="213BFD3B" w14:textId="77777777" w:rsidR="00A04FE4" w:rsidRPr="000844FE" w:rsidRDefault="00A04FE4" w:rsidP="000844FE">
      <w:pPr>
        <w:pStyle w:val="ListParagraph"/>
        <w:ind w:left="0"/>
        <w:rPr>
          <w:rFonts w:cs="Arial"/>
          <w:szCs w:val="24"/>
        </w:rPr>
      </w:pPr>
    </w:p>
    <w:p w14:paraId="1FF8DFDA" w14:textId="55797521" w:rsidR="008E4ACD" w:rsidRPr="000844FE" w:rsidRDefault="008E4ACD" w:rsidP="000844FE">
      <w:pPr>
        <w:pStyle w:val="Heading3"/>
        <w:rPr>
          <w:rFonts w:cs="Arial"/>
          <w:szCs w:val="24"/>
        </w:rPr>
      </w:pPr>
      <w:r w:rsidRPr="000844FE">
        <w:rPr>
          <w:rFonts w:cs="Arial"/>
          <w:szCs w:val="24"/>
        </w:rPr>
        <w:t>Measurement and data collection</w:t>
      </w:r>
    </w:p>
    <w:p w14:paraId="371397C0" w14:textId="77777777" w:rsidR="00854668" w:rsidRPr="000844FE" w:rsidRDefault="00854668" w:rsidP="00D1707C">
      <w:pPr>
        <w:rPr>
          <w:rFonts w:cs="Arial"/>
          <w:color w:val="FF0000"/>
          <w:szCs w:val="24"/>
        </w:rPr>
      </w:pPr>
    </w:p>
    <w:p w14:paraId="4546680A" w14:textId="4E70536C" w:rsidR="00845E8F" w:rsidRPr="000844FE" w:rsidRDefault="00BE7039" w:rsidP="000844FE">
      <w:pPr>
        <w:rPr>
          <w:rFonts w:cs="Arial"/>
          <w:szCs w:val="24"/>
        </w:rPr>
      </w:pPr>
      <w:r w:rsidRPr="000844FE">
        <w:rPr>
          <w:rFonts w:cs="Arial"/>
          <w:szCs w:val="24"/>
        </w:rPr>
        <w:t xml:space="preserve">A </w:t>
      </w:r>
      <w:r w:rsidR="00503AAF" w:rsidRPr="000844FE">
        <w:rPr>
          <w:rFonts w:cs="Arial"/>
          <w:szCs w:val="24"/>
        </w:rPr>
        <w:t>Unified Indicators Monitoring System</w:t>
      </w:r>
      <w:r w:rsidR="00845E8F" w:rsidRPr="000844FE">
        <w:rPr>
          <w:rFonts w:cs="Arial"/>
          <w:szCs w:val="24"/>
        </w:rPr>
        <w:t xml:space="preserve"> </w:t>
      </w:r>
      <w:r w:rsidR="00503AAF" w:rsidRPr="000844FE">
        <w:rPr>
          <w:rFonts w:cs="Arial"/>
          <w:szCs w:val="24"/>
        </w:rPr>
        <w:t>(2017)</w:t>
      </w:r>
      <w:r w:rsidRPr="000844FE">
        <w:rPr>
          <w:rFonts w:cs="Arial"/>
          <w:szCs w:val="24"/>
        </w:rPr>
        <w:t xml:space="preserve"> wa</w:t>
      </w:r>
      <w:r w:rsidR="00503AAF" w:rsidRPr="000844FE">
        <w:rPr>
          <w:rFonts w:cs="Arial"/>
          <w:szCs w:val="24"/>
        </w:rPr>
        <w:t>s established</w:t>
      </w:r>
      <w:r w:rsidR="00B76FB9" w:rsidRPr="000844FE">
        <w:rPr>
          <w:rFonts w:cs="Arial"/>
          <w:szCs w:val="24"/>
        </w:rPr>
        <w:t xml:space="preserve"> nationally</w:t>
      </w:r>
      <w:r w:rsidR="00503AAF" w:rsidRPr="000844FE">
        <w:rPr>
          <w:rFonts w:cs="Arial"/>
          <w:szCs w:val="24"/>
        </w:rPr>
        <w:t xml:space="preserve"> </w:t>
      </w:r>
      <w:r w:rsidRPr="000844FE">
        <w:rPr>
          <w:rFonts w:cs="Arial"/>
          <w:b/>
          <w:szCs w:val="24"/>
        </w:rPr>
        <w:t>for the first time</w:t>
      </w:r>
      <w:r w:rsidRPr="000844FE">
        <w:rPr>
          <w:rFonts w:cs="Arial"/>
          <w:szCs w:val="24"/>
        </w:rPr>
        <w:t xml:space="preserve">, under </w:t>
      </w:r>
      <w:r w:rsidR="00503AAF" w:rsidRPr="000844FE">
        <w:rPr>
          <w:rFonts w:cs="Arial"/>
          <w:szCs w:val="24"/>
        </w:rPr>
        <w:t>the programmatic period 2014-2020</w:t>
      </w:r>
      <w:r w:rsidR="00D1707C">
        <w:rPr>
          <w:rFonts w:cs="Arial"/>
          <w:szCs w:val="24"/>
        </w:rPr>
        <w:t>.</w:t>
      </w:r>
      <w:r w:rsidR="001A4CED" w:rsidRPr="000844FE">
        <w:rPr>
          <w:rStyle w:val="FootnoteReference"/>
          <w:rFonts w:cs="Arial"/>
          <w:sz w:val="24"/>
          <w:szCs w:val="24"/>
        </w:rPr>
        <w:footnoteReference w:id="52"/>
      </w:r>
      <w:r w:rsidR="007E71B6" w:rsidRPr="000844FE">
        <w:rPr>
          <w:rFonts w:cs="Arial"/>
          <w:szCs w:val="24"/>
        </w:rPr>
        <w:t xml:space="preserve"> </w:t>
      </w:r>
      <w:r w:rsidR="002018B8" w:rsidRPr="000844FE">
        <w:rPr>
          <w:rFonts w:cs="Arial"/>
          <w:szCs w:val="24"/>
          <w:lang w:eastAsia="en-GB"/>
        </w:rPr>
        <w:t xml:space="preserve">Overall, these include 19 output indicators for </w:t>
      </w:r>
      <w:r w:rsidR="007E71B6" w:rsidRPr="000844FE">
        <w:rPr>
          <w:rFonts w:cs="Arial"/>
          <w:szCs w:val="24"/>
          <w:lang w:eastAsia="en-GB"/>
        </w:rPr>
        <w:t>individuals</w:t>
      </w:r>
      <w:r w:rsidR="002018B8" w:rsidRPr="000844FE">
        <w:rPr>
          <w:rFonts w:cs="Arial"/>
          <w:szCs w:val="24"/>
          <w:lang w:eastAsia="en-GB"/>
        </w:rPr>
        <w:t xml:space="preserve"> directly benefiting from funded actions</w:t>
      </w:r>
      <w:r w:rsidR="007E71B6" w:rsidRPr="000844FE">
        <w:rPr>
          <w:rFonts w:cs="Arial"/>
          <w:szCs w:val="24"/>
          <w:lang w:eastAsia="en-GB"/>
        </w:rPr>
        <w:t>, which should be</w:t>
      </w:r>
      <w:r w:rsidR="00845E8F" w:rsidRPr="000844FE">
        <w:rPr>
          <w:rFonts w:cs="Arial"/>
          <w:szCs w:val="24"/>
          <w:lang w:eastAsia="en-GB"/>
        </w:rPr>
        <w:t xml:space="preserve"> </w:t>
      </w:r>
      <w:r w:rsidR="00845E8F" w:rsidRPr="000844FE">
        <w:rPr>
          <w:rFonts w:cs="Arial"/>
          <w:szCs w:val="24"/>
          <w:lang w:eastAsia="en-GB"/>
        </w:rPr>
        <w:lastRenderedPageBreak/>
        <w:t>collecte</w:t>
      </w:r>
      <w:r w:rsidR="007E71B6" w:rsidRPr="000844FE">
        <w:rPr>
          <w:rFonts w:cs="Arial"/>
          <w:szCs w:val="24"/>
          <w:lang w:eastAsia="en-GB"/>
        </w:rPr>
        <w:t xml:space="preserve">d upon </w:t>
      </w:r>
      <w:r w:rsidR="006F4DE9" w:rsidRPr="000844FE">
        <w:rPr>
          <w:rFonts w:cs="Arial"/>
          <w:szCs w:val="24"/>
          <w:lang w:eastAsia="en-GB"/>
        </w:rPr>
        <w:t xml:space="preserve">participants </w:t>
      </w:r>
      <w:r w:rsidR="007E71B6" w:rsidRPr="000844FE">
        <w:rPr>
          <w:rFonts w:cs="Arial"/>
          <w:szCs w:val="24"/>
          <w:lang w:eastAsia="en-GB"/>
        </w:rPr>
        <w:t>entering</w:t>
      </w:r>
      <w:r w:rsidR="00845E8F" w:rsidRPr="000844FE">
        <w:rPr>
          <w:rFonts w:cs="Arial"/>
          <w:szCs w:val="24"/>
          <w:lang w:eastAsia="en-GB"/>
        </w:rPr>
        <w:t xml:space="preserve"> a program</w:t>
      </w:r>
      <w:r w:rsidR="007E71B6" w:rsidRPr="000844FE">
        <w:rPr>
          <w:rFonts w:cs="Arial"/>
          <w:szCs w:val="24"/>
          <w:lang w:eastAsia="en-GB"/>
        </w:rPr>
        <w:t>. This microdata can be stored</w:t>
      </w:r>
      <w:r w:rsidR="007D3A79" w:rsidRPr="000844FE">
        <w:rPr>
          <w:rFonts w:cs="Arial"/>
          <w:szCs w:val="24"/>
          <w:lang w:eastAsia="en-GB"/>
        </w:rPr>
        <w:t xml:space="preserve"> on local or central database</w:t>
      </w:r>
      <w:r w:rsidR="007E71B6" w:rsidRPr="000844FE">
        <w:rPr>
          <w:rFonts w:cs="Arial"/>
          <w:szCs w:val="24"/>
          <w:lang w:eastAsia="en-GB"/>
        </w:rPr>
        <w:t>s depending on the call</w:t>
      </w:r>
      <w:r w:rsidR="00F50E2F">
        <w:rPr>
          <w:rFonts w:cs="Arial"/>
          <w:szCs w:val="24"/>
          <w:lang w:eastAsia="en-GB"/>
        </w:rPr>
        <w:t xml:space="preserve"> </w:t>
      </w:r>
      <w:r w:rsidR="007E71B6" w:rsidRPr="000844FE">
        <w:rPr>
          <w:rFonts w:cs="Arial"/>
          <w:szCs w:val="24"/>
          <w:lang w:eastAsia="en-GB"/>
        </w:rPr>
        <w:t xml:space="preserve">and </w:t>
      </w:r>
      <w:r w:rsidR="005C129B" w:rsidRPr="000844FE">
        <w:rPr>
          <w:rFonts w:cs="Arial"/>
          <w:szCs w:val="24"/>
          <w:lang w:eastAsia="en-GB"/>
        </w:rPr>
        <w:t>must</w:t>
      </w:r>
      <w:r w:rsidR="007E71B6" w:rsidRPr="000844FE">
        <w:rPr>
          <w:rFonts w:cs="Arial"/>
          <w:szCs w:val="24"/>
          <w:lang w:eastAsia="en-GB"/>
        </w:rPr>
        <w:t xml:space="preserve"> be</w:t>
      </w:r>
      <w:r w:rsidR="007D3A79" w:rsidRPr="000844FE">
        <w:rPr>
          <w:rFonts w:cs="Arial"/>
          <w:szCs w:val="24"/>
          <w:lang w:eastAsia="en-GB"/>
        </w:rPr>
        <w:t xml:space="preserve"> reported annuall</w:t>
      </w:r>
      <w:r w:rsidR="007E71B6" w:rsidRPr="000844FE">
        <w:rPr>
          <w:rFonts w:cs="Arial"/>
          <w:szCs w:val="24"/>
          <w:lang w:eastAsia="en-GB"/>
        </w:rPr>
        <w:t>y</w:t>
      </w:r>
      <w:r w:rsidR="006F4DE9" w:rsidRPr="000844FE">
        <w:rPr>
          <w:rFonts w:cs="Arial"/>
          <w:szCs w:val="24"/>
          <w:lang w:eastAsia="en-GB"/>
        </w:rPr>
        <w:t xml:space="preserve">. Additionally, </w:t>
      </w:r>
      <w:r w:rsidR="00B856EE" w:rsidRPr="000844FE">
        <w:rPr>
          <w:rFonts w:cs="Arial"/>
          <w:szCs w:val="24"/>
          <w:lang w:eastAsia="en-GB"/>
        </w:rPr>
        <w:t>f</w:t>
      </w:r>
      <w:r w:rsidR="00845E8F" w:rsidRPr="000844FE">
        <w:rPr>
          <w:rFonts w:cs="Arial"/>
          <w:szCs w:val="24"/>
          <w:lang w:eastAsia="en-GB"/>
        </w:rPr>
        <w:t xml:space="preserve">ive </w:t>
      </w:r>
      <w:r w:rsidR="00B856EE" w:rsidRPr="000844FE">
        <w:rPr>
          <w:rFonts w:cs="Arial"/>
          <w:szCs w:val="24"/>
          <w:lang w:eastAsia="en-GB"/>
        </w:rPr>
        <w:t xml:space="preserve">common </w:t>
      </w:r>
      <w:r w:rsidR="00845E8F" w:rsidRPr="000844FE">
        <w:rPr>
          <w:rFonts w:cs="Arial"/>
          <w:szCs w:val="24"/>
          <w:lang w:eastAsia="en-GB"/>
        </w:rPr>
        <w:t>results indicators</w:t>
      </w:r>
      <w:r w:rsidR="00B856EE" w:rsidRPr="000844FE">
        <w:rPr>
          <w:rFonts w:cs="Arial"/>
          <w:szCs w:val="24"/>
          <w:lang w:eastAsia="en-GB"/>
        </w:rPr>
        <w:t xml:space="preserve"> are adopted, to be measured at the point of exit, in order</w:t>
      </w:r>
      <w:r w:rsidR="00845E8F" w:rsidRPr="000844FE">
        <w:rPr>
          <w:rFonts w:cs="Arial"/>
          <w:szCs w:val="24"/>
          <w:lang w:eastAsia="en-GB"/>
        </w:rPr>
        <w:t xml:space="preserve"> to capture change before and after par</w:t>
      </w:r>
      <w:r w:rsidR="00520BDD" w:rsidRPr="000844FE">
        <w:rPr>
          <w:rFonts w:cs="Arial"/>
          <w:szCs w:val="24"/>
          <w:lang w:eastAsia="en-GB"/>
        </w:rPr>
        <w:t>ticipation in selected actions.</w:t>
      </w:r>
    </w:p>
    <w:p w14:paraId="4C97A43A" w14:textId="088AF7C7" w:rsidR="00117965" w:rsidRPr="000844FE" w:rsidRDefault="00117965" w:rsidP="000844FE">
      <w:pPr>
        <w:rPr>
          <w:rFonts w:cs="Arial"/>
          <w:color w:val="FF0000"/>
          <w:szCs w:val="24"/>
        </w:rPr>
      </w:pPr>
    </w:p>
    <w:p w14:paraId="32761070" w14:textId="789DE26E" w:rsidR="0053202B" w:rsidRPr="000844FE" w:rsidRDefault="00194875" w:rsidP="000844FE">
      <w:pPr>
        <w:rPr>
          <w:rFonts w:cs="Arial"/>
          <w:szCs w:val="24"/>
        </w:rPr>
      </w:pPr>
      <w:r w:rsidRPr="000844FE">
        <w:rPr>
          <w:rFonts w:cs="Arial"/>
          <w:szCs w:val="24"/>
        </w:rPr>
        <w:t xml:space="preserve">Linking to predominant models of disability service provision, i.e. </w:t>
      </w:r>
      <w:r w:rsidR="007D3A79" w:rsidRPr="000844FE">
        <w:rPr>
          <w:rFonts w:cs="Arial"/>
          <w:szCs w:val="24"/>
        </w:rPr>
        <w:t>day care servic</w:t>
      </w:r>
      <w:r w:rsidRPr="000844FE">
        <w:rPr>
          <w:rFonts w:cs="Arial"/>
          <w:szCs w:val="24"/>
        </w:rPr>
        <w:t>es</w:t>
      </w:r>
      <w:r w:rsidR="007D3A79" w:rsidRPr="000844FE">
        <w:rPr>
          <w:rFonts w:cs="Arial"/>
          <w:szCs w:val="24"/>
        </w:rPr>
        <w:t>, output indicators involve</w:t>
      </w:r>
      <w:r w:rsidR="0053202B" w:rsidRPr="000844FE">
        <w:rPr>
          <w:rFonts w:cs="Arial"/>
          <w:szCs w:val="24"/>
        </w:rPr>
        <w:t xml:space="preserve"> </w:t>
      </w:r>
      <w:r w:rsidR="005C411C" w:rsidRPr="000844FE">
        <w:rPr>
          <w:rFonts w:cs="Arial"/>
          <w:szCs w:val="24"/>
        </w:rPr>
        <w:t xml:space="preserve">for instance </w:t>
      </w:r>
      <w:r w:rsidR="007D3A79" w:rsidRPr="000844FE">
        <w:rPr>
          <w:rFonts w:cs="Arial"/>
          <w:szCs w:val="24"/>
        </w:rPr>
        <w:t>the</w:t>
      </w:r>
      <w:r w:rsidR="0053202B" w:rsidRPr="000844FE">
        <w:rPr>
          <w:rFonts w:cs="Arial"/>
          <w:szCs w:val="24"/>
        </w:rPr>
        <w:t xml:space="preserve"> number of units established and </w:t>
      </w:r>
      <w:r w:rsidR="007D3A79" w:rsidRPr="000844FE">
        <w:rPr>
          <w:rFonts w:cs="Arial"/>
          <w:szCs w:val="24"/>
        </w:rPr>
        <w:t xml:space="preserve">the </w:t>
      </w:r>
      <w:r w:rsidR="0053202B" w:rsidRPr="000844FE">
        <w:rPr>
          <w:rFonts w:cs="Arial"/>
          <w:szCs w:val="24"/>
        </w:rPr>
        <w:t>number of beneficiaries supported</w:t>
      </w:r>
      <w:r w:rsidR="007D3A79" w:rsidRPr="000844FE">
        <w:rPr>
          <w:rFonts w:cs="Arial"/>
          <w:szCs w:val="24"/>
        </w:rPr>
        <w:t>, while the results indicator is “number of units established with improved services”</w:t>
      </w:r>
      <w:r w:rsidR="00DD7864">
        <w:rPr>
          <w:rFonts w:cs="Arial"/>
          <w:szCs w:val="24"/>
        </w:rPr>
        <w:t>.</w:t>
      </w:r>
      <w:r w:rsidR="00823B49" w:rsidRPr="000844FE">
        <w:rPr>
          <w:rStyle w:val="FootnoteReference"/>
          <w:rFonts w:cs="Arial"/>
          <w:sz w:val="24"/>
          <w:szCs w:val="24"/>
        </w:rPr>
        <w:footnoteReference w:id="53"/>
      </w:r>
      <w:r w:rsidRPr="000844FE">
        <w:rPr>
          <w:rFonts w:cs="Arial"/>
          <w:szCs w:val="24"/>
        </w:rPr>
        <w:t xml:space="preserve"> However, </w:t>
      </w:r>
      <w:r w:rsidR="00E76C99" w:rsidRPr="000844FE">
        <w:rPr>
          <w:rFonts w:cs="Arial"/>
          <w:szCs w:val="24"/>
        </w:rPr>
        <w:t xml:space="preserve">there is </w:t>
      </w:r>
      <w:r w:rsidRPr="000844FE">
        <w:rPr>
          <w:rFonts w:cs="Arial"/>
          <w:szCs w:val="24"/>
        </w:rPr>
        <w:t xml:space="preserve">lack of </w:t>
      </w:r>
      <w:r w:rsidR="000F13F0" w:rsidRPr="000844FE">
        <w:rPr>
          <w:rFonts w:cs="Arial"/>
          <w:szCs w:val="24"/>
        </w:rPr>
        <w:t xml:space="preserve">guidance </w:t>
      </w:r>
      <w:r w:rsidRPr="000844FE">
        <w:rPr>
          <w:rFonts w:cs="Arial"/>
          <w:szCs w:val="24"/>
        </w:rPr>
        <w:t xml:space="preserve">on what constitutes </w:t>
      </w:r>
      <w:r w:rsidR="000F13F0" w:rsidRPr="000844FE">
        <w:rPr>
          <w:rFonts w:cs="Arial"/>
          <w:szCs w:val="24"/>
        </w:rPr>
        <w:t>“service improv</w:t>
      </w:r>
      <w:r w:rsidR="00503AAF" w:rsidRPr="000844FE">
        <w:rPr>
          <w:rFonts w:cs="Arial"/>
          <w:szCs w:val="24"/>
        </w:rPr>
        <w:t>ement”</w:t>
      </w:r>
      <w:r w:rsidRPr="000844FE">
        <w:rPr>
          <w:rFonts w:cs="Arial"/>
          <w:szCs w:val="24"/>
        </w:rPr>
        <w:t>,</w:t>
      </w:r>
      <w:r w:rsidR="00503AAF" w:rsidRPr="000844FE">
        <w:rPr>
          <w:rFonts w:cs="Arial"/>
          <w:szCs w:val="24"/>
        </w:rPr>
        <w:t xml:space="preserve"> </w:t>
      </w:r>
      <w:r w:rsidRPr="000844FE">
        <w:rPr>
          <w:rFonts w:cs="Arial"/>
          <w:szCs w:val="24"/>
        </w:rPr>
        <w:t xml:space="preserve">lack of established quality standards </w:t>
      </w:r>
      <w:r w:rsidR="00E76C99" w:rsidRPr="000844FE">
        <w:rPr>
          <w:rFonts w:cs="Arial"/>
          <w:szCs w:val="24"/>
        </w:rPr>
        <w:t xml:space="preserve">in disability services </w:t>
      </w:r>
      <w:r w:rsidRPr="000844FE">
        <w:rPr>
          <w:rFonts w:cs="Arial"/>
          <w:szCs w:val="24"/>
        </w:rPr>
        <w:t xml:space="preserve">as well as </w:t>
      </w:r>
      <w:r w:rsidR="00E76C99" w:rsidRPr="000844FE">
        <w:rPr>
          <w:rFonts w:cs="Arial"/>
          <w:szCs w:val="24"/>
        </w:rPr>
        <w:t xml:space="preserve">lack </w:t>
      </w:r>
      <w:r w:rsidRPr="000844FE">
        <w:rPr>
          <w:rFonts w:cs="Arial"/>
          <w:szCs w:val="24"/>
        </w:rPr>
        <w:t>of</w:t>
      </w:r>
      <w:r w:rsidR="000F13F0" w:rsidRPr="000844FE">
        <w:rPr>
          <w:rFonts w:cs="Arial"/>
          <w:szCs w:val="24"/>
        </w:rPr>
        <w:t xml:space="preserve"> </w:t>
      </w:r>
      <w:r w:rsidR="005C411C" w:rsidRPr="000844FE">
        <w:rPr>
          <w:rFonts w:cs="Arial"/>
          <w:szCs w:val="24"/>
        </w:rPr>
        <w:t xml:space="preserve">harmonised </w:t>
      </w:r>
      <w:r w:rsidR="000F13F0" w:rsidRPr="000844FE">
        <w:rPr>
          <w:rFonts w:cs="Arial"/>
          <w:szCs w:val="24"/>
        </w:rPr>
        <w:t>methodo</w:t>
      </w:r>
      <w:r w:rsidRPr="000844FE">
        <w:rPr>
          <w:rFonts w:cs="Arial"/>
          <w:szCs w:val="24"/>
        </w:rPr>
        <w:t>logy for measuring such outcomes</w:t>
      </w:r>
      <w:r w:rsidR="000F13F0" w:rsidRPr="000844FE">
        <w:rPr>
          <w:rFonts w:cs="Arial"/>
          <w:szCs w:val="24"/>
        </w:rPr>
        <w:t xml:space="preserve">. Additionally, the </w:t>
      </w:r>
      <w:r w:rsidR="00646368" w:rsidRPr="000844FE">
        <w:rPr>
          <w:rFonts w:cs="Arial"/>
          <w:szCs w:val="24"/>
        </w:rPr>
        <w:t xml:space="preserve">way the </w:t>
      </w:r>
      <w:r w:rsidR="000F13F0" w:rsidRPr="000844FE">
        <w:rPr>
          <w:rFonts w:cs="Arial"/>
          <w:szCs w:val="24"/>
        </w:rPr>
        <w:t xml:space="preserve">results </w:t>
      </w:r>
      <w:r w:rsidR="001129FB" w:rsidRPr="000844FE">
        <w:rPr>
          <w:rFonts w:cs="Arial"/>
          <w:szCs w:val="24"/>
        </w:rPr>
        <w:t>indicator is</w:t>
      </w:r>
      <w:r w:rsidR="00646368" w:rsidRPr="000844FE">
        <w:rPr>
          <w:rFonts w:cs="Arial"/>
          <w:szCs w:val="24"/>
        </w:rPr>
        <w:t xml:space="preserve"> worded</w:t>
      </w:r>
      <w:r w:rsidR="000F13F0" w:rsidRPr="000844FE">
        <w:rPr>
          <w:rFonts w:cs="Arial"/>
          <w:szCs w:val="24"/>
        </w:rPr>
        <w:t xml:space="preserve"> </w:t>
      </w:r>
      <w:r w:rsidR="00646368" w:rsidRPr="000844FE">
        <w:rPr>
          <w:rFonts w:cs="Arial"/>
          <w:szCs w:val="24"/>
        </w:rPr>
        <w:t>do</w:t>
      </w:r>
      <w:r w:rsidR="001129FB" w:rsidRPr="000844FE">
        <w:rPr>
          <w:rFonts w:cs="Arial"/>
          <w:szCs w:val="24"/>
        </w:rPr>
        <w:t>es</w:t>
      </w:r>
      <w:r w:rsidR="00646368" w:rsidRPr="000844FE">
        <w:rPr>
          <w:rFonts w:cs="Arial"/>
          <w:szCs w:val="24"/>
        </w:rPr>
        <w:t xml:space="preserve"> not seem to include the perspective of beneficiaries;</w:t>
      </w:r>
      <w:r w:rsidR="005C411C" w:rsidRPr="000844FE">
        <w:rPr>
          <w:rFonts w:cs="Arial"/>
          <w:szCs w:val="24"/>
        </w:rPr>
        <w:t xml:space="preserve"> indicatively the unit of measurement in that case is the day care centre, rather than</w:t>
      </w:r>
      <w:r w:rsidR="001129FB" w:rsidRPr="000844FE">
        <w:rPr>
          <w:rFonts w:cs="Arial"/>
          <w:szCs w:val="24"/>
        </w:rPr>
        <w:t>,</w:t>
      </w:r>
      <w:r w:rsidR="005C411C" w:rsidRPr="000844FE">
        <w:rPr>
          <w:rFonts w:cs="Arial"/>
          <w:szCs w:val="24"/>
        </w:rPr>
        <w:t xml:space="preserve"> </w:t>
      </w:r>
      <w:r w:rsidR="001129FB" w:rsidRPr="000844FE">
        <w:rPr>
          <w:rFonts w:cs="Arial"/>
          <w:szCs w:val="24"/>
        </w:rPr>
        <w:t xml:space="preserve">for instance, </w:t>
      </w:r>
      <w:r w:rsidR="005C411C" w:rsidRPr="000844FE">
        <w:rPr>
          <w:rFonts w:cs="Arial"/>
          <w:szCs w:val="24"/>
        </w:rPr>
        <w:t>the number/ proportion of beneficiaries</w:t>
      </w:r>
      <w:r w:rsidR="00646368" w:rsidRPr="000844FE">
        <w:rPr>
          <w:rFonts w:cs="Arial"/>
          <w:szCs w:val="24"/>
        </w:rPr>
        <w:t xml:space="preserve"> who </w:t>
      </w:r>
      <w:r w:rsidR="005C411C" w:rsidRPr="000844FE">
        <w:rPr>
          <w:rFonts w:cs="Arial"/>
          <w:szCs w:val="24"/>
        </w:rPr>
        <w:t>are satisfied</w:t>
      </w:r>
      <w:r w:rsidR="001129FB" w:rsidRPr="000844FE">
        <w:rPr>
          <w:rFonts w:cs="Arial"/>
          <w:szCs w:val="24"/>
        </w:rPr>
        <w:t xml:space="preserve"> with services</w:t>
      </w:r>
      <w:r w:rsidR="005C411C" w:rsidRPr="000844FE">
        <w:rPr>
          <w:rFonts w:cs="Arial"/>
          <w:szCs w:val="24"/>
        </w:rPr>
        <w:t xml:space="preserve">, or </w:t>
      </w:r>
      <w:r w:rsidR="00646368" w:rsidRPr="000844FE">
        <w:rPr>
          <w:rFonts w:cs="Arial"/>
          <w:szCs w:val="24"/>
        </w:rPr>
        <w:t>report improved sense of well-being.</w:t>
      </w:r>
    </w:p>
    <w:p w14:paraId="1D71649F" w14:textId="7E4FC01F" w:rsidR="00117965" w:rsidRPr="000844FE" w:rsidRDefault="00117965" w:rsidP="000844FE">
      <w:pPr>
        <w:rPr>
          <w:rFonts w:cs="Arial"/>
          <w:szCs w:val="24"/>
        </w:rPr>
      </w:pPr>
    </w:p>
    <w:p w14:paraId="455A3381" w14:textId="34107CE4" w:rsidR="008E4ACD" w:rsidRPr="000844FE" w:rsidRDefault="008E4ACD" w:rsidP="00DD7864">
      <w:pPr>
        <w:pStyle w:val="Heading1"/>
      </w:pPr>
      <w:bookmarkStart w:id="33" w:name="_Toc529874070"/>
      <w:bookmarkStart w:id="34" w:name="_Toc7608764"/>
      <w:r w:rsidRPr="000844FE">
        <w:t>Impact and outcomes</w:t>
      </w:r>
      <w:bookmarkEnd w:id="33"/>
      <w:bookmarkEnd w:id="34"/>
    </w:p>
    <w:p w14:paraId="3076B794" w14:textId="77777777" w:rsidR="008E4ACD" w:rsidRPr="000844FE" w:rsidRDefault="008E4ACD" w:rsidP="000844FE">
      <w:pPr>
        <w:rPr>
          <w:rFonts w:cs="Arial"/>
          <w:szCs w:val="24"/>
        </w:rPr>
      </w:pPr>
    </w:p>
    <w:p w14:paraId="556D68D4" w14:textId="14690FA5" w:rsidR="008E4ACD" w:rsidRPr="000844FE" w:rsidRDefault="008E4ACD" w:rsidP="00DD7864">
      <w:pPr>
        <w:pStyle w:val="Heading2"/>
      </w:pPr>
      <w:bookmarkStart w:id="35" w:name="_Toc529874071"/>
      <w:bookmarkStart w:id="36" w:name="_Toc7608765"/>
      <w:r w:rsidRPr="000844FE">
        <w:t>Progress against</w:t>
      </w:r>
      <w:r w:rsidR="00C60675" w:rsidRPr="000844FE">
        <w:t xml:space="preserve"> explicit</w:t>
      </w:r>
      <w:r w:rsidRPr="000844FE">
        <w:t xml:space="preserve"> targets and milestones</w:t>
      </w:r>
      <w:bookmarkEnd w:id="35"/>
      <w:bookmarkEnd w:id="36"/>
    </w:p>
    <w:p w14:paraId="0A638F92" w14:textId="1D89EDAF" w:rsidR="00117965" w:rsidRPr="000844FE" w:rsidRDefault="00117965" w:rsidP="00DD7864"/>
    <w:p w14:paraId="4D2CAA91" w14:textId="0990BE0A" w:rsidR="00117965" w:rsidRPr="000844FE" w:rsidRDefault="00503AAF" w:rsidP="000844FE">
      <w:pPr>
        <w:rPr>
          <w:rFonts w:cs="Arial"/>
          <w:szCs w:val="24"/>
        </w:rPr>
      </w:pPr>
      <w:r w:rsidRPr="000844FE">
        <w:rPr>
          <w:rFonts w:cs="Arial"/>
          <w:szCs w:val="24"/>
        </w:rPr>
        <w:t>No progress or evaluatio</w:t>
      </w:r>
      <w:r w:rsidR="007D6FCA" w:rsidRPr="000844FE">
        <w:rPr>
          <w:rFonts w:cs="Arial"/>
          <w:szCs w:val="24"/>
        </w:rPr>
        <w:t>n reports have been published</w:t>
      </w:r>
      <w:r w:rsidRPr="000844FE">
        <w:rPr>
          <w:rFonts w:cs="Arial"/>
          <w:szCs w:val="24"/>
        </w:rPr>
        <w:t xml:space="preserve"> on the projects outlined above</w:t>
      </w:r>
      <w:r w:rsidR="00DD7864">
        <w:rPr>
          <w:rFonts w:cs="Arial"/>
          <w:szCs w:val="24"/>
        </w:rPr>
        <w:t>,</w:t>
      </w:r>
      <w:r w:rsidR="00E76C99" w:rsidRPr="000844FE">
        <w:rPr>
          <w:rStyle w:val="FootnoteReference"/>
          <w:rFonts w:cs="Arial"/>
          <w:sz w:val="24"/>
          <w:szCs w:val="24"/>
        </w:rPr>
        <w:footnoteReference w:id="54"/>
      </w:r>
      <w:r w:rsidRPr="000844FE">
        <w:rPr>
          <w:rFonts w:cs="Arial"/>
          <w:szCs w:val="24"/>
        </w:rPr>
        <w:t xml:space="preserve"> although it should be noted that most of them are </w:t>
      </w:r>
      <w:r w:rsidR="00117965" w:rsidRPr="000844FE">
        <w:rPr>
          <w:rFonts w:cs="Arial"/>
          <w:szCs w:val="24"/>
        </w:rPr>
        <w:t>still ongoing</w:t>
      </w:r>
      <w:r w:rsidRPr="000844FE">
        <w:rPr>
          <w:rFonts w:cs="Arial"/>
          <w:szCs w:val="24"/>
        </w:rPr>
        <w:t>.</w:t>
      </w:r>
      <w:r w:rsidR="00585510" w:rsidRPr="000844FE">
        <w:rPr>
          <w:rFonts w:cs="Arial"/>
          <w:szCs w:val="24"/>
        </w:rPr>
        <w:t xml:space="preserve"> </w:t>
      </w:r>
      <w:r w:rsidR="00117965" w:rsidRPr="000844FE">
        <w:rPr>
          <w:rFonts w:cs="Arial"/>
          <w:szCs w:val="24"/>
        </w:rPr>
        <w:t xml:space="preserve">It is interesting </w:t>
      </w:r>
      <w:r w:rsidR="00D6194B" w:rsidRPr="000844FE">
        <w:rPr>
          <w:rFonts w:cs="Arial"/>
          <w:szCs w:val="24"/>
        </w:rPr>
        <w:t xml:space="preserve">moreover </w:t>
      </w:r>
      <w:r w:rsidR="00117965" w:rsidRPr="000844FE">
        <w:rPr>
          <w:rFonts w:cs="Arial"/>
          <w:szCs w:val="24"/>
        </w:rPr>
        <w:t>to note that the National Statistical Service will be assisting the sampling and research design for measuring impact indicators on OP level</w:t>
      </w:r>
      <w:r w:rsidR="00DD7864">
        <w:rPr>
          <w:rFonts w:cs="Arial"/>
          <w:szCs w:val="24"/>
        </w:rPr>
        <w:t>.</w:t>
      </w:r>
      <w:r w:rsidR="00117965" w:rsidRPr="000844FE">
        <w:rPr>
          <w:rStyle w:val="FootnoteReference"/>
          <w:rFonts w:cs="Arial"/>
          <w:sz w:val="24"/>
          <w:szCs w:val="24"/>
        </w:rPr>
        <w:footnoteReference w:id="55"/>
      </w:r>
    </w:p>
    <w:p w14:paraId="03C461D8" w14:textId="77777777" w:rsidR="00117965" w:rsidRPr="000844FE" w:rsidRDefault="00117965" w:rsidP="000844FE">
      <w:pPr>
        <w:rPr>
          <w:rFonts w:cs="Arial"/>
          <w:szCs w:val="24"/>
        </w:rPr>
      </w:pPr>
    </w:p>
    <w:p w14:paraId="601475EE" w14:textId="298911EF" w:rsidR="00C43773" w:rsidRPr="000844FE" w:rsidRDefault="007409E9" w:rsidP="000844FE">
      <w:pPr>
        <w:rPr>
          <w:rFonts w:cs="Arial"/>
          <w:szCs w:val="24"/>
        </w:rPr>
      </w:pPr>
      <w:r w:rsidRPr="000844FE">
        <w:rPr>
          <w:rFonts w:cs="Arial"/>
          <w:szCs w:val="24"/>
        </w:rPr>
        <w:t xml:space="preserve">With regards to the de-institutionalisation project approved in the Region of Attika (state budget) </w:t>
      </w:r>
      <w:r w:rsidR="00A25B43" w:rsidRPr="000844FE">
        <w:rPr>
          <w:rFonts w:cs="Arial"/>
          <w:szCs w:val="24"/>
        </w:rPr>
        <w:t xml:space="preserve">it </w:t>
      </w:r>
      <w:r w:rsidRPr="000844FE">
        <w:rPr>
          <w:rFonts w:cs="Arial"/>
          <w:szCs w:val="24"/>
        </w:rPr>
        <w:t>seems that no aspect of the project has been implemented yet, b</w:t>
      </w:r>
      <w:r w:rsidR="00C43773" w:rsidRPr="000844FE">
        <w:rPr>
          <w:rFonts w:cs="Arial"/>
          <w:szCs w:val="24"/>
        </w:rPr>
        <w:t xml:space="preserve">ased on </w:t>
      </w:r>
      <w:r w:rsidR="001B1543" w:rsidRPr="000844FE">
        <w:rPr>
          <w:rFonts w:cs="Arial"/>
          <w:szCs w:val="24"/>
        </w:rPr>
        <w:t xml:space="preserve">the author’s </w:t>
      </w:r>
      <w:r w:rsidR="00C43773" w:rsidRPr="000844FE">
        <w:rPr>
          <w:rFonts w:cs="Arial"/>
          <w:szCs w:val="24"/>
        </w:rPr>
        <w:t>communication with the Institute of the Child</w:t>
      </w:r>
      <w:r w:rsidR="00D6194B" w:rsidRPr="000844FE">
        <w:rPr>
          <w:rFonts w:cs="Arial"/>
          <w:szCs w:val="24"/>
        </w:rPr>
        <w:t xml:space="preserve"> Health</w:t>
      </w:r>
      <w:r w:rsidR="005462CE" w:rsidRPr="000844FE">
        <w:rPr>
          <w:rFonts w:cs="Arial"/>
          <w:szCs w:val="24"/>
        </w:rPr>
        <w:t xml:space="preserve"> for the purposes of this report</w:t>
      </w:r>
      <w:r w:rsidR="00DD7864">
        <w:rPr>
          <w:rFonts w:cs="Arial"/>
          <w:szCs w:val="24"/>
        </w:rPr>
        <w:t>,</w:t>
      </w:r>
      <w:r w:rsidR="00C43773" w:rsidRPr="000844FE">
        <w:rPr>
          <w:rStyle w:val="FootnoteReference"/>
          <w:rFonts w:cs="Arial"/>
          <w:sz w:val="24"/>
          <w:szCs w:val="24"/>
        </w:rPr>
        <w:footnoteReference w:id="56"/>
      </w:r>
      <w:r w:rsidR="00C43773" w:rsidRPr="000844FE">
        <w:rPr>
          <w:rFonts w:cs="Arial"/>
          <w:szCs w:val="24"/>
        </w:rPr>
        <w:t xml:space="preserve"> as well as </w:t>
      </w:r>
      <w:r w:rsidR="00A25B43" w:rsidRPr="000844FE">
        <w:rPr>
          <w:rFonts w:cs="Arial"/>
          <w:szCs w:val="24"/>
        </w:rPr>
        <w:t>testimonies by</w:t>
      </w:r>
      <w:r w:rsidR="001B1543" w:rsidRPr="000844FE">
        <w:rPr>
          <w:rFonts w:cs="Arial"/>
          <w:szCs w:val="24"/>
        </w:rPr>
        <w:t xml:space="preserve"> an </w:t>
      </w:r>
      <w:r w:rsidR="00C43773" w:rsidRPr="000844FE">
        <w:rPr>
          <w:rFonts w:cs="Arial"/>
          <w:szCs w:val="24"/>
        </w:rPr>
        <w:t xml:space="preserve">activist group reporting directly from the </w:t>
      </w:r>
      <w:r w:rsidR="007838A1" w:rsidRPr="000844FE">
        <w:rPr>
          <w:rFonts w:cs="Arial"/>
          <w:szCs w:val="24"/>
        </w:rPr>
        <w:t>Institution</w:t>
      </w:r>
      <w:r w:rsidR="00C43773" w:rsidRPr="000844FE">
        <w:rPr>
          <w:rFonts w:cs="Arial"/>
          <w:szCs w:val="24"/>
        </w:rPr>
        <w:t xml:space="preserve"> of </w:t>
      </w:r>
      <w:proofErr w:type="spellStart"/>
      <w:r w:rsidR="00C43773" w:rsidRPr="000844FE">
        <w:rPr>
          <w:rFonts w:cs="Arial"/>
          <w:szCs w:val="24"/>
        </w:rPr>
        <w:t>Lechaina</w:t>
      </w:r>
      <w:proofErr w:type="spellEnd"/>
      <w:r w:rsidR="001B1543" w:rsidRPr="000844FE">
        <w:rPr>
          <w:rFonts w:cs="Arial"/>
          <w:szCs w:val="24"/>
        </w:rPr>
        <w:t xml:space="preserve"> in December 2018</w:t>
      </w:r>
      <w:r w:rsidR="00C43773" w:rsidRPr="000844FE">
        <w:rPr>
          <w:rFonts w:cs="Arial"/>
          <w:szCs w:val="24"/>
        </w:rPr>
        <w:t xml:space="preserve"> (please see section 6.2)</w:t>
      </w:r>
      <w:r w:rsidR="001B1543" w:rsidRPr="000844FE">
        <w:rPr>
          <w:rFonts w:cs="Arial"/>
          <w:szCs w:val="24"/>
        </w:rPr>
        <w:t>.</w:t>
      </w:r>
    </w:p>
    <w:p w14:paraId="0A8F1AE1" w14:textId="77777777" w:rsidR="008E4ACD" w:rsidRPr="000844FE" w:rsidRDefault="008E4ACD" w:rsidP="0017733F"/>
    <w:p w14:paraId="4554AB10" w14:textId="5248AEE9" w:rsidR="00205446" w:rsidRPr="000844FE" w:rsidRDefault="008E4ACD" w:rsidP="00DD7864">
      <w:pPr>
        <w:pStyle w:val="Heading2"/>
      </w:pPr>
      <w:bookmarkStart w:id="37" w:name="_Toc529874072"/>
      <w:bookmarkStart w:id="38" w:name="_Toc7608766"/>
      <w:r w:rsidRPr="000844FE">
        <w:t>What is replacing institutional care</w:t>
      </w:r>
      <w:r w:rsidR="00205446" w:rsidRPr="000844FE">
        <w:t>?</w:t>
      </w:r>
      <w:bookmarkEnd w:id="37"/>
      <w:bookmarkEnd w:id="38"/>
    </w:p>
    <w:p w14:paraId="414E7282" w14:textId="77777777" w:rsidR="00205446" w:rsidRPr="000844FE" w:rsidRDefault="00205446" w:rsidP="00DD7864"/>
    <w:p w14:paraId="0A3BA895" w14:textId="09C0E31F" w:rsidR="00173EF0" w:rsidRPr="000844FE" w:rsidRDefault="00173EF0" w:rsidP="00DD7864">
      <w:pPr>
        <w:pStyle w:val="Heading3"/>
      </w:pPr>
      <w:r w:rsidRPr="000844FE">
        <w:t>At the point that persons with disabilities are being moved out of institutional care facilities, what types of accommodation and support are they being moved into?</w:t>
      </w:r>
    </w:p>
    <w:p w14:paraId="2F92432B" w14:textId="71D148D8" w:rsidR="00173EF0" w:rsidRPr="000844FE" w:rsidRDefault="00173EF0" w:rsidP="00DD7864"/>
    <w:p w14:paraId="12640AB8" w14:textId="04E48507" w:rsidR="005462CE" w:rsidRPr="000844FE" w:rsidRDefault="005462CE" w:rsidP="00DD7864">
      <w:r w:rsidRPr="000844FE">
        <w:t xml:space="preserve">No </w:t>
      </w:r>
      <w:r w:rsidR="000C077C" w:rsidRPr="000844FE">
        <w:t xml:space="preserve">specific </w:t>
      </w:r>
      <w:r w:rsidRPr="000844FE">
        <w:t>in</w:t>
      </w:r>
      <w:r w:rsidR="000C077C" w:rsidRPr="000844FE">
        <w:t xml:space="preserve">formation is </w:t>
      </w:r>
      <w:r w:rsidR="00C40AC6" w:rsidRPr="000844FE">
        <w:t xml:space="preserve">available with regards to </w:t>
      </w:r>
      <w:r w:rsidR="000C077C" w:rsidRPr="000844FE">
        <w:t xml:space="preserve">what is being planned in </w:t>
      </w:r>
      <w:r w:rsidR="00C40AC6" w:rsidRPr="000844FE">
        <w:t>the de-institutionalisation project in the Region of Attika</w:t>
      </w:r>
      <w:r w:rsidR="000C077C" w:rsidRPr="000844FE">
        <w:t>, i.e. in whi</w:t>
      </w:r>
      <w:r w:rsidR="005C688C" w:rsidRPr="000844FE">
        <w:t xml:space="preserve">ch structures residents will </w:t>
      </w:r>
      <w:r w:rsidR="000C077C" w:rsidRPr="000844FE">
        <w:t>move to</w:t>
      </w:r>
      <w:r w:rsidR="00C40AC6" w:rsidRPr="000844FE">
        <w:t>.</w:t>
      </w:r>
      <w:r w:rsidR="00BC1595" w:rsidRPr="000844FE">
        <w:t xml:space="preserve"> </w:t>
      </w:r>
    </w:p>
    <w:p w14:paraId="1445F350" w14:textId="2B837CFE" w:rsidR="009E6B8A" w:rsidRPr="000844FE" w:rsidRDefault="00BC1595" w:rsidP="00DD7864">
      <w:r w:rsidRPr="000844FE">
        <w:lastRenderedPageBreak/>
        <w:t>It should be noted that the only available community-based alternative for residential care is the Supported Living Shelters, specifically for perso</w:t>
      </w:r>
      <w:r w:rsidR="00585510" w:rsidRPr="000844FE">
        <w:t>ns with intellectual disability</w:t>
      </w:r>
      <w:r w:rsidRPr="000844FE">
        <w:t xml:space="preserve">. </w:t>
      </w:r>
      <w:r w:rsidR="00C751AC" w:rsidRPr="000844FE">
        <w:t>However, these are not intended or do not currently have the capacity to replace institutional care as such.</w:t>
      </w:r>
      <w:r w:rsidR="00B76FB9" w:rsidRPr="000844FE">
        <w:t xml:space="preserve"> </w:t>
      </w:r>
      <w:r w:rsidR="00C40AC6" w:rsidRPr="000844FE">
        <w:t>According to the research study contracted by EYSEKT (2017) only 5</w:t>
      </w:r>
      <w:r w:rsidR="00DD7864">
        <w:t xml:space="preserve"> </w:t>
      </w:r>
      <w:r w:rsidR="00C40AC6" w:rsidRPr="000844FE">
        <w:t>% of residents in the Supported Living Shelter were found to come from</w:t>
      </w:r>
      <w:r w:rsidR="009E6B8A" w:rsidRPr="000844FE">
        <w:t xml:space="preserve"> a segregated type institution (</w:t>
      </w:r>
      <w:r w:rsidR="00073049" w:rsidRPr="000844FE">
        <w:t>12</w:t>
      </w:r>
      <w:r w:rsidR="009E6B8A" w:rsidRPr="000844FE">
        <w:t xml:space="preserve"> out of 197 in the sample)</w:t>
      </w:r>
      <w:r w:rsidR="005B1B23" w:rsidRPr="000844FE">
        <w:t xml:space="preserve">. </w:t>
      </w:r>
      <w:r w:rsidRPr="000844FE">
        <w:t>This seemed to be based on a case by case assessment of specific units (usually with larger capacity)</w:t>
      </w:r>
      <w:r w:rsidR="00585510" w:rsidRPr="000844FE">
        <w:t>,</w:t>
      </w:r>
      <w:r w:rsidR="005B1B23" w:rsidRPr="000844FE">
        <w:t xml:space="preserve"> who had known the cases through other activities (internally referred)</w:t>
      </w:r>
      <w:r w:rsidR="009E6B8A" w:rsidRPr="000844FE">
        <w:t>.</w:t>
      </w:r>
      <w:r w:rsidR="00073049" w:rsidRPr="000844FE">
        <w:t xml:space="preserve"> </w:t>
      </w:r>
      <w:r w:rsidR="009E6B8A" w:rsidRPr="000844FE">
        <w:t>It is interesting to note the researchers’ analysis on that point:</w:t>
      </w:r>
    </w:p>
    <w:p w14:paraId="22745FE9" w14:textId="3036BDB6" w:rsidR="009E6B8A" w:rsidRPr="000844FE" w:rsidRDefault="009E6B8A" w:rsidP="00DD7864"/>
    <w:p w14:paraId="3F18B3FB" w14:textId="52C7A3DF" w:rsidR="009E6B8A" w:rsidRPr="000844FE" w:rsidRDefault="009E6B8A" w:rsidP="00DD7864">
      <w:r w:rsidRPr="000844FE">
        <w:t>“It is noted that the current operational framework of the Supported Living Shelters and the relevant state policies</w:t>
      </w:r>
      <w:r w:rsidR="00414FC2" w:rsidRPr="000844FE">
        <w:t xml:space="preserve"> are significantly deterring for the inclusion of those two groups [ uninsured and people in institutional care] in these structures. For the uninsured, their inclusion is not covered by EOPPY [the national organisation of health service providers]</w:t>
      </w:r>
      <w:r w:rsidR="0059759F" w:rsidRPr="000844FE">
        <w:t xml:space="preserve"> nor have relevant welfare budget resources been activated. Regarding the inclusion of residents who come from closed type institutions, further to</w:t>
      </w:r>
      <w:r w:rsidR="00553F4C" w:rsidRPr="000844FE">
        <w:t xml:space="preserve"> the fact that</w:t>
      </w:r>
      <w:r w:rsidR="0059759F" w:rsidRPr="000844FE">
        <w:t xml:space="preserve"> often </w:t>
      </w:r>
      <w:r w:rsidR="00553F4C" w:rsidRPr="000844FE">
        <w:t>they are</w:t>
      </w:r>
      <w:r w:rsidR="0059759F" w:rsidRPr="000844FE">
        <w:t xml:space="preserve"> uninsured, the level of service provision and the current operational framework of Supported Living Shelters cannot cover the </w:t>
      </w:r>
      <w:r w:rsidR="00953A54" w:rsidRPr="000844FE">
        <w:t>requirements of</w:t>
      </w:r>
      <w:r w:rsidR="00953A54" w:rsidRPr="000844FE">
        <w:rPr>
          <w:i/>
        </w:rPr>
        <w:t xml:space="preserve"> </w:t>
      </w:r>
      <w:r w:rsidR="00953A54" w:rsidRPr="000844FE">
        <w:t xml:space="preserve">a long-term and individualised de-institutionalisation </w:t>
      </w:r>
      <w:r w:rsidR="00181E45" w:rsidRPr="000844FE">
        <w:t>p</w:t>
      </w:r>
      <w:r w:rsidR="00953A54" w:rsidRPr="000844FE">
        <w:t xml:space="preserve">rocess, especially under current economic pressure but also with the current low </w:t>
      </w:r>
      <w:r w:rsidR="00637150" w:rsidRPr="000844FE">
        <w:t>daily cost coverage</w:t>
      </w:r>
      <w:r w:rsidR="00DD7864">
        <w:t>.</w:t>
      </w:r>
      <w:r w:rsidR="00637150" w:rsidRPr="000844FE">
        <w:t>”</w:t>
      </w:r>
      <w:r w:rsidR="00637150" w:rsidRPr="000844FE">
        <w:rPr>
          <w:rStyle w:val="FootnoteReference"/>
          <w:rFonts w:cs="Arial"/>
          <w:sz w:val="24"/>
          <w:szCs w:val="24"/>
        </w:rPr>
        <w:footnoteReference w:id="57"/>
      </w:r>
    </w:p>
    <w:p w14:paraId="021A5ECC" w14:textId="6B473C31" w:rsidR="000C077C" w:rsidRPr="000844FE" w:rsidRDefault="000C077C" w:rsidP="00DD7864">
      <w:pPr>
        <w:rPr>
          <w:i/>
        </w:rPr>
      </w:pPr>
    </w:p>
    <w:p w14:paraId="3FD60A85" w14:textId="4FE68F42" w:rsidR="00FD46E8" w:rsidRPr="000844FE" w:rsidRDefault="0082759D" w:rsidP="00DD7864">
      <w:r w:rsidRPr="000844FE">
        <w:t>Furthermore</w:t>
      </w:r>
      <w:r w:rsidRPr="000844FE">
        <w:rPr>
          <w:i/>
        </w:rPr>
        <w:t xml:space="preserve">, </w:t>
      </w:r>
      <w:r w:rsidRPr="000844FE">
        <w:t>t</w:t>
      </w:r>
      <w:r w:rsidR="000C077C" w:rsidRPr="000844FE">
        <w:t>he resea</w:t>
      </w:r>
      <w:r w:rsidR="00FD46E8" w:rsidRPr="000844FE">
        <w:t>r</w:t>
      </w:r>
      <w:r w:rsidR="00266C32" w:rsidRPr="000844FE">
        <w:t xml:space="preserve">ch study </w:t>
      </w:r>
      <w:r w:rsidR="000C077C" w:rsidRPr="000844FE">
        <w:t>provides a unique account of services offered</w:t>
      </w:r>
      <w:r w:rsidR="00FD46E8" w:rsidRPr="000844FE">
        <w:t xml:space="preserve"> in the Supported Living Shelters, with some of the main features </w:t>
      </w:r>
      <w:r w:rsidR="002169B5" w:rsidRPr="000844FE">
        <w:t>briefly referenced</w:t>
      </w:r>
      <w:r w:rsidR="00C06631" w:rsidRPr="000844FE">
        <w:t xml:space="preserve"> below</w:t>
      </w:r>
      <w:r w:rsidR="00FD46E8" w:rsidRPr="000844FE">
        <w:t>:</w:t>
      </w:r>
    </w:p>
    <w:p w14:paraId="3F325F92" w14:textId="77777777" w:rsidR="00FD46E8" w:rsidRPr="000844FE" w:rsidRDefault="00FD46E8" w:rsidP="00DD7864"/>
    <w:p w14:paraId="238D0270" w14:textId="761EDEB7" w:rsidR="00CA2DED" w:rsidRPr="000844FE" w:rsidRDefault="00FD46E8" w:rsidP="00DD7864">
      <w:pPr>
        <w:pStyle w:val="ListParagraph"/>
        <w:numPr>
          <w:ilvl w:val="0"/>
          <w:numId w:val="24"/>
        </w:numPr>
        <w:ind w:left="567" w:hanging="567"/>
        <w:rPr>
          <w:rFonts w:cs="Arial"/>
          <w:szCs w:val="24"/>
        </w:rPr>
      </w:pPr>
      <w:r w:rsidRPr="000844FE">
        <w:rPr>
          <w:rFonts w:cs="Arial"/>
          <w:szCs w:val="24"/>
        </w:rPr>
        <w:t>11 involve</w:t>
      </w:r>
      <w:r w:rsidR="000C077C" w:rsidRPr="000844FE">
        <w:rPr>
          <w:rFonts w:cs="Arial"/>
          <w:szCs w:val="24"/>
        </w:rPr>
        <w:t xml:space="preserve"> </w:t>
      </w:r>
      <w:r w:rsidR="00CA2DED" w:rsidRPr="000844FE">
        <w:rPr>
          <w:rFonts w:cs="Arial"/>
          <w:szCs w:val="24"/>
        </w:rPr>
        <w:t xml:space="preserve">accommodation in </w:t>
      </w:r>
      <w:r w:rsidR="000C077C" w:rsidRPr="000844FE">
        <w:rPr>
          <w:rFonts w:cs="Arial"/>
          <w:szCs w:val="24"/>
        </w:rPr>
        <w:t xml:space="preserve">apartments, 20 </w:t>
      </w:r>
      <w:r w:rsidR="00CA2DED" w:rsidRPr="000844FE">
        <w:rPr>
          <w:rFonts w:cs="Arial"/>
          <w:szCs w:val="24"/>
        </w:rPr>
        <w:t xml:space="preserve">in </w:t>
      </w:r>
      <w:r w:rsidR="000C077C" w:rsidRPr="000844FE">
        <w:rPr>
          <w:rFonts w:cs="Arial"/>
          <w:szCs w:val="24"/>
        </w:rPr>
        <w:t>residential buildings, hosting in parallel other day care services</w:t>
      </w:r>
      <w:r w:rsidR="00DD7864">
        <w:rPr>
          <w:rFonts w:cs="Arial"/>
          <w:szCs w:val="24"/>
        </w:rPr>
        <w:t>.</w:t>
      </w:r>
      <w:r w:rsidR="00AB5E6F" w:rsidRPr="000844FE">
        <w:rPr>
          <w:rStyle w:val="FootnoteReference"/>
          <w:rFonts w:cs="Arial"/>
          <w:sz w:val="24"/>
          <w:szCs w:val="24"/>
        </w:rPr>
        <w:footnoteReference w:id="58"/>
      </w:r>
      <w:r w:rsidR="00CA2DED" w:rsidRPr="000844FE">
        <w:rPr>
          <w:rFonts w:cs="Arial"/>
          <w:szCs w:val="24"/>
        </w:rPr>
        <w:t xml:space="preserve"> Worth noting here that the study does not see any direct correlation between </w:t>
      </w:r>
      <w:r w:rsidR="00266C32" w:rsidRPr="000844FE">
        <w:rPr>
          <w:rFonts w:cs="Arial"/>
          <w:szCs w:val="24"/>
        </w:rPr>
        <w:t>those</w:t>
      </w:r>
      <w:r w:rsidR="00CA2DED" w:rsidRPr="000844FE">
        <w:rPr>
          <w:rFonts w:cs="Arial"/>
          <w:szCs w:val="24"/>
        </w:rPr>
        <w:t xml:space="preserve"> types and inclusion in the community,</w:t>
      </w:r>
      <w:r w:rsidR="009A00F0" w:rsidRPr="000844FE">
        <w:rPr>
          <w:rFonts w:cs="Arial"/>
          <w:szCs w:val="24"/>
        </w:rPr>
        <w:t xml:space="preserve"> suggesting that access to the community</w:t>
      </w:r>
      <w:r w:rsidR="005D41B7" w:rsidRPr="000844FE">
        <w:rPr>
          <w:rFonts w:cs="Arial"/>
          <w:szCs w:val="24"/>
        </w:rPr>
        <w:t xml:space="preserve"> was not necessarily attained</w:t>
      </w:r>
      <w:r w:rsidR="009A00F0" w:rsidRPr="000844FE">
        <w:rPr>
          <w:rFonts w:cs="Arial"/>
          <w:szCs w:val="24"/>
        </w:rPr>
        <w:t xml:space="preserve"> for those residing in small apartments in the urban area with close proximity to services, while in the cases of larger capacity shelters, close relationships with the neighbourhood were noted. Overall, </w:t>
      </w:r>
      <w:r w:rsidR="00CA2DED" w:rsidRPr="000844FE">
        <w:rPr>
          <w:rFonts w:cs="Arial"/>
          <w:szCs w:val="24"/>
        </w:rPr>
        <w:t>from the monitoring visits conducted it is suggested that the Supported Living Shelters are far from being considered as a segregated institution.</w:t>
      </w:r>
    </w:p>
    <w:p w14:paraId="5727F747" w14:textId="2BA444E5" w:rsidR="000C077C" w:rsidRPr="000844FE" w:rsidRDefault="000C077C" w:rsidP="00DD7864">
      <w:pPr>
        <w:pStyle w:val="ListParagraph"/>
        <w:numPr>
          <w:ilvl w:val="0"/>
          <w:numId w:val="24"/>
        </w:numPr>
        <w:ind w:left="567" w:hanging="567"/>
        <w:rPr>
          <w:rFonts w:cs="Arial"/>
          <w:szCs w:val="24"/>
        </w:rPr>
      </w:pPr>
      <w:r w:rsidRPr="000844FE">
        <w:rPr>
          <w:rFonts w:cs="Arial"/>
          <w:szCs w:val="24"/>
        </w:rPr>
        <w:t>31</w:t>
      </w:r>
      <w:r w:rsidR="00DD7864">
        <w:rPr>
          <w:rFonts w:cs="Arial"/>
          <w:szCs w:val="24"/>
        </w:rPr>
        <w:t xml:space="preserve"> </w:t>
      </w:r>
      <w:r w:rsidRPr="000844FE">
        <w:rPr>
          <w:rFonts w:cs="Arial"/>
          <w:szCs w:val="24"/>
        </w:rPr>
        <w:t xml:space="preserve">% were </w:t>
      </w:r>
      <w:r w:rsidR="00CA2DED" w:rsidRPr="000844FE">
        <w:rPr>
          <w:rFonts w:cs="Arial"/>
          <w:szCs w:val="24"/>
        </w:rPr>
        <w:t xml:space="preserve">situated outside the urban area, </w:t>
      </w:r>
      <w:r w:rsidRPr="000844FE">
        <w:rPr>
          <w:rFonts w:cs="Arial"/>
          <w:szCs w:val="24"/>
        </w:rPr>
        <w:t xml:space="preserve">but not further than </w:t>
      </w:r>
      <w:r w:rsidR="001F1BA0">
        <w:rPr>
          <w:rFonts w:cs="Arial"/>
          <w:szCs w:val="24"/>
        </w:rPr>
        <w:t xml:space="preserve">two </w:t>
      </w:r>
      <w:r w:rsidRPr="000844FE">
        <w:rPr>
          <w:rFonts w:cs="Arial"/>
          <w:szCs w:val="24"/>
        </w:rPr>
        <w:t xml:space="preserve">km away from </w:t>
      </w:r>
      <w:r w:rsidR="00CA2DED" w:rsidRPr="000844FE">
        <w:rPr>
          <w:rFonts w:cs="Arial"/>
          <w:szCs w:val="24"/>
        </w:rPr>
        <w:t xml:space="preserve">a </w:t>
      </w:r>
      <w:r w:rsidRPr="000844FE">
        <w:rPr>
          <w:rFonts w:cs="Arial"/>
          <w:szCs w:val="24"/>
        </w:rPr>
        <w:t>transpo</w:t>
      </w:r>
      <w:r w:rsidR="00CA2DED" w:rsidRPr="000844FE">
        <w:rPr>
          <w:rFonts w:cs="Arial"/>
          <w:szCs w:val="24"/>
        </w:rPr>
        <w:t>rt station and/or key services; a</w:t>
      </w:r>
      <w:r w:rsidRPr="000844FE">
        <w:rPr>
          <w:rFonts w:cs="Arial"/>
          <w:szCs w:val="24"/>
        </w:rPr>
        <w:t>ll</w:t>
      </w:r>
      <w:r w:rsidR="00CA2DED" w:rsidRPr="000844FE">
        <w:rPr>
          <w:rFonts w:cs="Arial"/>
          <w:szCs w:val="24"/>
        </w:rPr>
        <w:t xml:space="preserve"> shelters</w:t>
      </w:r>
      <w:r w:rsidRPr="000844FE">
        <w:rPr>
          <w:rFonts w:cs="Arial"/>
          <w:szCs w:val="24"/>
        </w:rPr>
        <w:t xml:space="preserve"> inc</w:t>
      </w:r>
      <w:r w:rsidR="00CA2DED" w:rsidRPr="000844FE">
        <w:rPr>
          <w:rFonts w:cs="Arial"/>
          <w:szCs w:val="24"/>
        </w:rPr>
        <w:t>luded means of transportation.</w:t>
      </w:r>
    </w:p>
    <w:p w14:paraId="231FF18F" w14:textId="47E5ED88" w:rsidR="004F1E2C" w:rsidRPr="000844FE" w:rsidRDefault="003D6ABF" w:rsidP="00DD7864">
      <w:pPr>
        <w:pStyle w:val="ListParagraph"/>
        <w:numPr>
          <w:ilvl w:val="0"/>
          <w:numId w:val="24"/>
        </w:numPr>
        <w:ind w:left="567" w:hanging="567"/>
        <w:rPr>
          <w:rFonts w:cs="Arial"/>
          <w:szCs w:val="24"/>
        </w:rPr>
      </w:pPr>
      <w:r w:rsidRPr="000844FE">
        <w:rPr>
          <w:rFonts w:cs="Arial"/>
          <w:szCs w:val="24"/>
        </w:rPr>
        <w:t>4</w:t>
      </w:r>
      <w:r w:rsidR="000C077C" w:rsidRPr="000844FE">
        <w:rPr>
          <w:rFonts w:cs="Arial"/>
          <w:szCs w:val="24"/>
        </w:rPr>
        <w:t>2</w:t>
      </w:r>
      <w:r w:rsidR="00DD7864">
        <w:rPr>
          <w:rFonts w:cs="Arial"/>
          <w:szCs w:val="24"/>
        </w:rPr>
        <w:t xml:space="preserve"> </w:t>
      </w:r>
      <w:r w:rsidR="000C077C" w:rsidRPr="000844FE">
        <w:rPr>
          <w:rFonts w:cs="Arial"/>
          <w:szCs w:val="24"/>
        </w:rPr>
        <w:t xml:space="preserve">% of </w:t>
      </w:r>
      <w:r w:rsidRPr="000844FE">
        <w:rPr>
          <w:rFonts w:cs="Arial"/>
          <w:szCs w:val="24"/>
        </w:rPr>
        <w:t xml:space="preserve">the </w:t>
      </w:r>
      <w:r w:rsidR="000C077C" w:rsidRPr="000844FE">
        <w:rPr>
          <w:rFonts w:cs="Arial"/>
          <w:szCs w:val="24"/>
        </w:rPr>
        <w:t xml:space="preserve">residents share a room </w:t>
      </w:r>
      <w:r w:rsidR="00585510" w:rsidRPr="000844FE">
        <w:rPr>
          <w:rFonts w:cs="Arial"/>
          <w:szCs w:val="24"/>
        </w:rPr>
        <w:t>with one more person</w:t>
      </w:r>
      <w:r w:rsidR="000C077C" w:rsidRPr="000844FE">
        <w:rPr>
          <w:rFonts w:cs="Arial"/>
          <w:szCs w:val="24"/>
        </w:rPr>
        <w:t>,</w:t>
      </w:r>
      <w:r w:rsidR="00585510" w:rsidRPr="000844FE">
        <w:rPr>
          <w:rFonts w:cs="Arial"/>
          <w:szCs w:val="24"/>
        </w:rPr>
        <w:t xml:space="preserve"> which in many instances seems to be</w:t>
      </w:r>
      <w:r w:rsidR="000C077C" w:rsidRPr="000844FE">
        <w:rPr>
          <w:rFonts w:cs="Arial"/>
          <w:szCs w:val="24"/>
        </w:rPr>
        <w:t xml:space="preserve"> a personal choice</w:t>
      </w:r>
      <w:r w:rsidR="00DD7864">
        <w:rPr>
          <w:rFonts w:cs="Arial"/>
          <w:szCs w:val="24"/>
        </w:rPr>
        <w:t>.</w:t>
      </w:r>
      <w:r w:rsidRPr="000844FE">
        <w:rPr>
          <w:rStyle w:val="FootnoteReference"/>
          <w:rFonts w:cs="Arial"/>
          <w:sz w:val="24"/>
          <w:szCs w:val="24"/>
        </w:rPr>
        <w:footnoteReference w:id="59"/>
      </w:r>
    </w:p>
    <w:p w14:paraId="7777BCE9" w14:textId="6D33D1FE" w:rsidR="0092656B" w:rsidRPr="000844FE" w:rsidRDefault="003C2055" w:rsidP="00DD7864">
      <w:pPr>
        <w:pStyle w:val="ListParagraph"/>
        <w:numPr>
          <w:ilvl w:val="0"/>
          <w:numId w:val="24"/>
        </w:numPr>
        <w:ind w:left="567" w:hanging="567"/>
        <w:rPr>
          <w:rStyle w:val="FootnoteReference"/>
          <w:rFonts w:cs="Arial"/>
          <w:sz w:val="24"/>
          <w:szCs w:val="24"/>
          <w:vertAlign w:val="baseline"/>
        </w:rPr>
      </w:pPr>
      <w:r w:rsidRPr="000844FE">
        <w:rPr>
          <w:rFonts w:cs="Arial"/>
          <w:szCs w:val="24"/>
        </w:rPr>
        <w:t>73</w:t>
      </w:r>
      <w:r w:rsidR="00DD7864">
        <w:rPr>
          <w:rFonts w:cs="Arial"/>
          <w:szCs w:val="24"/>
        </w:rPr>
        <w:t xml:space="preserve"> </w:t>
      </w:r>
      <w:r w:rsidRPr="000844FE">
        <w:rPr>
          <w:rFonts w:cs="Arial"/>
          <w:szCs w:val="24"/>
        </w:rPr>
        <w:t>% of the residents are actively involved</w:t>
      </w:r>
      <w:r w:rsidR="0092656B" w:rsidRPr="000844FE">
        <w:rPr>
          <w:rFonts w:cs="Arial"/>
          <w:szCs w:val="24"/>
        </w:rPr>
        <w:t xml:space="preserve"> in shopping/ purchases and cleaning of premises</w:t>
      </w:r>
      <w:r w:rsidR="000C077C" w:rsidRPr="000844FE">
        <w:rPr>
          <w:rFonts w:cs="Arial"/>
          <w:szCs w:val="24"/>
        </w:rPr>
        <w:t xml:space="preserve"> (those with severe impairment do not participate)</w:t>
      </w:r>
      <w:r w:rsidR="00DD7864">
        <w:rPr>
          <w:rFonts w:cs="Arial"/>
          <w:szCs w:val="24"/>
        </w:rPr>
        <w:t>.</w:t>
      </w:r>
      <w:r w:rsidR="0092656B" w:rsidRPr="000844FE">
        <w:rPr>
          <w:rStyle w:val="FootnoteReference"/>
          <w:rFonts w:cs="Arial"/>
          <w:sz w:val="24"/>
          <w:szCs w:val="24"/>
        </w:rPr>
        <w:footnoteReference w:id="60"/>
      </w:r>
    </w:p>
    <w:p w14:paraId="66A509E2" w14:textId="780BF9F3" w:rsidR="0092656B" w:rsidRPr="000844FE" w:rsidRDefault="0092656B" w:rsidP="00DD7864">
      <w:pPr>
        <w:pStyle w:val="ListParagraph"/>
        <w:numPr>
          <w:ilvl w:val="0"/>
          <w:numId w:val="24"/>
        </w:numPr>
        <w:ind w:left="567" w:hanging="567"/>
        <w:rPr>
          <w:rFonts w:cs="Arial"/>
          <w:szCs w:val="24"/>
        </w:rPr>
      </w:pPr>
      <w:r w:rsidRPr="000844FE">
        <w:rPr>
          <w:rFonts w:cs="Arial"/>
          <w:szCs w:val="24"/>
        </w:rPr>
        <w:t>40</w:t>
      </w:r>
      <w:r w:rsidR="00DD7864">
        <w:rPr>
          <w:rFonts w:cs="Arial"/>
          <w:szCs w:val="24"/>
        </w:rPr>
        <w:t xml:space="preserve"> </w:t>
      </w:r>
      <w:r w:rsidRPr="000844FE">
        <w:rPr>
          <w:rFonts w:cs="Arial"/>
          <w:szCs w:val="24"/>
        </w:rPr>
        <w:t>% of residents participate in the daily meal preparation, an additional 22</w:t>
      </w:r>
      <w:r w:rsidR="00DD7864">
        <w:rPr>
          <w:rFonts w:cs="Arial"/>
          <w:szCs w:val="24"/>
        </w:rPr>
        <w:t xml:space="preserve"> </w:t>
      </w:r>
      <w:r w:rsidRPr="000844FE">
        <w:rPr>
          <w:rFonts w:cs="Arial"/>
          <w:szCs w:val="24"/>
        </w:rPr>
        <w:t xml:space="preserve">% at least once a week. </w:t>
      </w:r>
    </w:p>
    <w:p w14:paraId="2231C2E6" w14:textId="50DEB533" w:rsidR="00747D57" w:rsidRPr="000844FE" w:rsidRDefault="0092656B" w:rsidP="00DD7864">
      <w:pPr>
        <w:pStyle w:val="ListParagraph"/>
        <w:numPr>
          <w:ilvl w:val="0"/>
          <w:numId w:val="24"/>
        </w:numPr>
        <w:ind w:left="567" w:hanging="567"/>
        <w:rPr>
          <w:rFonts w:cs="Arial"/>
          <w:szCs w:val="24"/>
        </w:rPr>
      </w:pPr>
      <w:r w:rsidRPr="000844FE">
        <w:rPr>
          <w:rFonts w:cs="Arial"/>
          <w:szCs w:val="24"/>
        </w:rPr>
        <w:t>Access to information and services: 82</w:t>
      </w:r>
      <w:r w:rsidR="00DD7864">
        <w:rPr>
          <w:rFonts w:cs="Arial"/>
          <w:szCs w:val="24"/>
        </w:rPr>
        <w:t xml:space="preserve"> </w:t>
      </w:r>
      <w:r w:rsidRPr="000844FE">
        <w:rPr>
          <w:rFonts w:cs="Arial"/>
          <w:szCs w:val="24"/>
        </w:rPr>
        <w:t>% access the internet; a</w:t>
      </w:r>
      <w:r w:rsidR="000C077C" w:rsidRPr="000844FE">
        <w:rPr>
          <w:rFonts w:cs="Arial"/>
          <w:szCs w:val="24"/>
        </w:rPr>
        <w:t xml:space="preserve">ccess to medical services </w:t>
      </w:r>
      <w:r w:rsidRPr="000844FE">
        <w:rPr>
          <w:rFonts w:cs="Arial"/>
          <w:szCs w:val="24"/>
        </w:rPr>
        <w:t xml:space="preserve">is </w:t>
      </w:r>
      <w:r w:rsidR="000C077C" w:rsidRPr="000844FE">
        <w:rPr>
          <w:rFonts w:cs="Arial"/>
          <w:szCs w:val="24"/>
        </w:rPr>
        <w:t>included</w:t>
      </w:r>
      <w:r w:rsidRPr="000844FE">
        <w:rPr>
          <w:rFonts w:cs="Arial"/>
          <w:szCs w:val="24"/>
        </w:rPr>
        <w:t xml:space="preserve"> in the daily cost</w:t>
      </w:r>
      <w:r w:rsidR="000C077C" w:rsidRPr="000844FE">
        <w:rPr>
          <w:rFonts w:cs="Arial"/>
          <w:szCs w:val="24"/>
        </w:rPr>
        <w:t xml:space="preserve">; most commonly accessed service is Day </w:t>
      </w:r>
      <w:r w:rsidR="000C077C" w:rsidRPr="000844FE">
        <w:rPr>
          <w:rFonts w:cs="Arial"/>
          <w:szCs w:val="24"/>
        </w:rPr>
        <w:lastRenderedPageBreak/>
        <w:t>Care Centres (77</w:t>
      </w:r>
      <w:r w:rsidR="00DD7864">
        <w:rPr>
          <w:rFonts w:cs="Arial"/>
          <w:szCs w:val="24"/>
        </w:rPr>
        <w:t xml:space="preserve"> </w:t>
      </w:r>
      <w:r w:rsidR="000C077C" w:rsidRPr="000844FE">
        <w:rPr>
          <w:rFonts w:cs="Arial"/>
          <w:szCs w:val="24"/>
        </w:rPr>
        <w:t>%) followed by occupational therapy (39</w:t>
      </w:r>
      <w:r w:rsidR="00DD7864">
        <w:rPr>
          <w:rFonts w:cs="Arial"/>
          <w:szCs w:val="24"/>
        </w:rPr>
        <w:t xml:space="preserve"> </w:t>
      </w:r>
      <w:r w:rsidR="000C077C" w:rsidRPr="000844FE">
        <w:rPr>
          <w:rFonts w:cs="Arial"/>
          <w:szCs w:val="24"/>
        </w:rPr>
        <w:t>%) and speech</w:t>
      </w:r>
      <w:r w:rsidRPr="000844FE">
        <w:rPr>
          <w:rFonts w:cs="Arial"/>
          <w:szCs w:val="24"/>
        </w:rPr>
        <w:t xml:space="preserve"> </w:t>
      </w:r>
      <w:r w:rsidR="000C077C" w:rsidRPr="000844FE">
        <w:rPr>
          <w:rFonts w:cs="Arial"/>
          <w:szCs w:val="24"/>
        </w:rPr>
        <w:t>therapy/ music therapy (22</w:t>
      </w:r>
      <w:r w:rsidR="00DD7864">
        <w:rPr>
          <w:rFonts w:cs="Arial"/>
          <w:szCs w:val="24"/>
        </w:rPr>
        <w:t xml:space="preserve"> </w:t>
      </w:r>
      <w:r w:rsidR="000C077C" w:rsidRPr="000844FE">
        <w:rPr>
          <w:rFonts w:cs="Arial"/>
          <w:szCs w:val="24"/>
        </w:rPr>
        <w:t>%)</w:t>
      </w:r>
      <w:r w:rsidR="00DD7864">
        <w:rPr>
          <w:rFonts w:cs="Arial"/>
          <w:szCs w:val="24"/>
        </w:rPr>
        <w:t>.</w:t>
      </w:r>
      <w:r w:rsidRPr="000844FE">
        <w:rPr>
          <w:rStyle w:val="FootnoteReference"/>
          <w:rFonts w:cs="Arial"/>
          <w:sz w:val="24"/>
          <w:szCs w:val="24"/>
        </w:rPr>
        <w:footnoteReference w:id="61"/>
      </w:r>
    </w:p>
    <w:p w14:paraId="4E63581C" w14:textId="66130FA0" w:rsidR="0092656B" w:rsidRPr="000844FE" w:rsidRDefault="00C43AA9" w:rsidP="00DD7864">
      <w:pPr>
        <w:pStyle w:val="ListParagraph"/>
        <w:numPr>
          <w:ilvl w:val="0"/>
          <w:numId w:val="24"/>
        </w:numPr>
        <w:ind w:left="567" w:hanging="567"/>
        <w:rPr>
          <w:rFonts w:cs="Arial"/>
          <w:szCs w:val="24"/>
        </w:rPr>
      </w:pPr>
      <w:r w:rsidRPr="000844FE">
        <w:rPr>
          <w:rFonts w:cs="Arial"/>
          <w:szCs w:val="24"/>
        </w:rPr>
        <w:t>R</w:t>
      </w:r>
      <w:r w:rsidR="000C077C" w:rsidRPr="000844FE">
        <w:rPr>
          <w:rFonts w:cs="Arial"/>
          <w:szCs w:val="24"/>
        </w:rPr>
        <w:t>egular outings</w:t>
      </w:r>
      <w:r w:rsidRPr="000844FE">
        <w:rPr>
          <w:rFonts w:cs="Arial"/>
          <w:szCs w:val="24"/>
        </w:rPr>
        <w:t>:</w:t>
      </w:r>
      <w:r w:rsidR="000C077C" w:rsidRPr="000844FE">
        <w:rPr>
          <w:rFonts w:cs="Arial"/>
          <w:szCs w:val="24"/>
        </w:rPr>
        <w:t xml:space="preserve"> 97</w:t>
      </w:r>
      <w:r w:rsidR="00DD7864">
        <w:rPr>
          <w:rFonts w:cs="Arial"/>
          <w:szCs w:val="24"/>
        </w:rPr>
        <w:t xml:space="preserve"> </w:t>
      </w:r>
      <w:r w:rsidR="000C077C" w:rsidRPr="000844FE">
        <w:rPr>
          <w:rFonts w:cs="Arial"/>
          <w:szCs w:val="24"/>
        </w:rPr>
        <w:t>% of residents participate at least once a week, 42</w:t>
      </w:r>
      <w:r w:rsidR="00DD7864">
        <w:rPr>
          <w:rFonts w:cs="Arial"/>
          <w:szCs w:val="24"/>
        </w:rPr>
        <w:t xml:space="preserve"> </w:t>
      </w:r>
      <w:r w:rsidR="000C077C" w:rsidRPr="000844FE">
        <w:rPr>
          <w:rFonts w:cs="Arial"/>
          <w:szCs w:val="24"/>
        </w:rPr>
        <w:t>%</w:t>
      </w:r>
      <w:r w:rsidRPr="000844FE">
        <w:rPr>
          <w:rFonts w:cs="Arial"/>
          <w:szCs w:val="24"/>
        </w:rPr>
        <w:t xml:space="preserve"> of whom at least 4 times a week,</w:t>
      </w:r>
      <w:r w:rsidR="000C077C" w:rsidRPr="000844FE">
        <w:rPr>
          <w:rFonts w:cs="Arial"/>
          <w:szCs w:val="24"/>
        </w:rPr>
        <w:t xml:space="preserve"> </w:t>
      </w:r>
      <w:r w:rsidRPr="000844FE">
        <w:rPr>
          <w:rFonts w:cs="Arial"/>
          <w:szCs w:val="24"/>
        </w:rPr>
        <w:t>based on</w:t>
      </w:r>
      <w:r w:rsidR="000C077C" w:rsidRPr="000844FE">
        <w:rPr>
          <w:rFonts w:cs="Arial"/>
          <w:szCs w:val="24"/>
        </w:rPr>
        <w:t xml:space="preserve"> individual preferences</w:t>
      </w:r>
      <w:r w:rsidR="00DD7864">
        <w:rPr>
          <w:rFonts w:cs="Arial"/>
          <w:szCs w:val="24"/>
        </w:rPr>
        <w:t>.</w:t>
      </w:r>
      <w:r w:rsidRPr="000844FE">
        <w:rPr>
          <w:rStyle w:val="FootnoteReference"/>
          <w:rFonts w:cs="Arial"/>
          <w:sz w:val="24"/>
          <w:szCs w:val="24"/>
        </w:rPr>
        <w:footnoteReference w:id="62"/>
      </w:r>
    </w:p>
    <w:p w14:paraId="31E69135" w14:textId="044B6623" w:rsidR="00326722" w:rsidRPr="000844FE" w:rsidRDefault="00326722" w:rsidP="00DD7864">
      <w:pPr>
        <w:pStyle w:val="ListParagraph"/>
        <w:numPr>
          <w:ilvl w:val="0"/>
          <w:numId w:val="24"/>
        </w:numPr>
        <w:ind w:left="567" w:hanging="567"/>
        <w:rPr>
          <w:rFonts w:cs="Arial"/>
          <w:szCs w:val="24"/>
        </w:rPr>
      </w:pPr>
      <w:r w:rsidRPr="000844FE">
        <w:rPr>
          <w:rFonts w:cs="Arial"/>
          <w:szCs w:val="24"/>
        </w:rPr>
        <w:t>Ratio</w:t>
      </w:r>
      <w:r w:rsidR="000C077C" w:rsidRPr="000844FE">
        <w:rPr>
          <w:rFonts w:cs="Arial"/>
          <w:szCs w:val="24"/>
        </w:rPr>
        <w:t xml:space="preserve"> staff to r</w:t>
      </w:r>
      <w:r w:rsidRPr="000844FE">
        <w:rPr>
          <w:rFonts w:cs="Arial"/>
          <w:szCs w:val="24"/>
        </w:rPr>
        <w:t xml:space="preserve">esidents is </w:t>
      </w:r>
      <w:r w:rsidR="000C077C" w:rsidRPr="000844FE">
        <w:rPr>
          <w:rFonts w:cs="Arial"/>
          <w:szCs w:val="24"/>
        </w:rPr>
        <w:t xml:space="preserve">1.19 for </w:t>
      </w:r>
      <w:r w:rsidRPr="000844FE">
        <w:rPr>
          <w:rFonts w:cs="Arial"/>
          <w:szCs w:val="24"/>
        </w:rPr>
        <w:t>those with higher support needs and</w:t>
      </w:r>
      <w:r w:rsidR="000C077C" w:rsidRPr="000844FE">
        <w:rPr>
          <w:rFonts w:cs="Arial"/>
          <w:szCs w:val="24"/>
        </w:rPr>
        <w:t xml:space="preserve"> 1.30 for those with lower support needs</w:t>
      </w:r>
      <w:r w:rsidR="00DD7864">
        <w:rPr>
          <w:rFonts w:cs="Arial"/>
          <w:szCs w:val="24"/>
        </w:rPr>
        <w:t>.</w:t>
      </w:r>
      <w:r w:rsidRPr="000844FE">
        <w:rPr>
          <w:rStyle w:val="FootnoteReference"/>
          <w:rFonts w:cs="Arial"/>
          <w:sz w:val="24"/>
          <w:szCs w:val="24"/>
        </w:rPr>
        <w:footnoteReference w:id="63"/>
      </w:r>
    </w:p>
    <w:p w14:paraId="0D09D306" w14:textId="5B9A0D9A" w:rsidR="00326722" w:rsidRPr="000844FE" w:rsidRDefault="00326722" w:rsidP="00DD7864">
      <w:pPr>
        <w:pStyle w:val="ListParagraph"/>
        <w:numPr>
          <w:ilvl w:val="0"/>
          <w:numId w:val="24"/>
        </w:numPr>
        <w:ind w:left="567" w:hanging="567"/>
        <w:rPr>
          <w:rFonts w:cs="Arial"/>
          <w:szCs w:val="24"/>
        </w:rPr>
      </w:pPr>
      <w:r w:rsidRPr="000844FE">
        <w:rPr>
          <w:rFonts w:cs="Arial"/>
          <w:szCs w:val="24"/>
        </w:rPr>
        <w:t>27 out of 31 units sampled expressed that their staff needs further training</w:t>
      </w:r>
      <w:r w:rsidR="00DD7864">
        <w:rPr>
          <w:rFonts w:cs="Arial"/>
          <w:szCs w:val="24"/>
        </w:rPr>
        <w:t>.</w:t>
      </w:r>
      <w:r w:rsidRPr="000844FE">
        <w:rPr>
          <w:rStyle w:val="FootnoteReference"/>
          <w:rFonts w:cs="Arial"/>
          <w:sz w:val="24"/>
          <w:szCs w:val="24"/>
        </w:rPr>
        <w:footnoteReference w:id="64"/>
      </w:r>
    </w:p>
    <w:p w14:paraId="5E27DEEC" w14:textId="68C151BF" w:rsidR="005B1B23" w:rsidRPr="000844FE" w:rsidRDefault="005B1B23" w:rsidP="001F1BA0"/>
    <w:p w14:paraId="3BBEBED0" w14:textId="3938F7F6" w:rsidR="00205446" w:rsidRPr="000844FE" w:rsidRDefault="00173EF0" w:rsidP="001F1BA0">
      <w:pPr>
        <w:pStyle w:val="Heading3"/>
      </w:pPr>
      <w:r w:rsidRPr="000844FE">
        <w:t xml:space="preserve">What services, supports and measures are being developed and instituted to build long term support for the right to live independently and to be included in the community? </w:t>
      </w:r>
    </w:p>
    <w:p w14:paraId="0F07DDCF" w14:textId="23D03C81" w:rsidR="00205446" w:rsidRPr="000844FE" w:rsidRDefault="00205446" w:rsidP="001F1BA0"/>
    <w:p w14:paraId="5D0FE07A" w14:textId="24EECD31" w:rsidR="0046449A" w:rsidRPr="000844FE" w:rsidRDefault="00206569" w:rsidP="001F1BA0">
      <w:r w:rsidRPr="000844FE">
        <w:t xml:space="preserve">There are no </w:t>
      </w:r>
      <w:r w:rsidR="00894E1D" w:rsidRPr="000844FE">
        <w:t xml:space="preserve">concrete </w:t>
      </w:r>
      <w:r w:rsidRPr="000844FE">
        <w:t>measures being developed further to what has been outlined above.</w:t>
      </w:r>
      <w:r w:rsidR="0046449A" w:rsidRPr="000844FE">
        <w:t xml:space="preserve"> Indeed, the recently renewed framework of disability rights</w:t>
      </w:r>
      <w:r w:rsidR="009C63ED" w:rsidRPr="000844FE">
        <w:rPr>
          <w:rStyle w:val="FootnoteReference"/>
          <w:rFonts w:cs="Arial"/>
          <w:sz w:val="24"/>
          <w:szCs w:val="24"/>
        </w:rPr>
        <w:footnoteReference w:id="65"/>
      </w:r>
      <w:r w:rsidR="0046449A" w:rsidRPr="000844FE">
        <w:t xml:space="preserve"> </w:t>
      </w:r>
      <w:r w:rsidR="00F321C8" w:rsidRPr="000844FE">
        <w:t>aimed to align national policies</w:t>
      </w:r>
      <w:r w:rsidR="0046449A" w:rsidRPr="000844FE">
        <w:t xml:space="preserve"> with the UN CRPD</w:t>
      </w:r>
      <w:r w:rsidR="00F321C8" w:rsidRPr="000844FE">
        <w:t>,</w:t>
      </w:r>
      <w:r w:rsidR="0046449A" w:rsidRPr="000844FE">
        <w:t xml:space="preserve"> </w:t>
      </w:r>
      <w:r w:rsidR="00F321C8" w:rsidRPr="000844FE">
        <w:t>fails at this stage</w:t>
      </w:r>
      <w:r w:rsidR="0046449A" w:rsidRPr="000844FE">
        <w:t xml:space="preserve"> to address the right to living independently i</w:t>
      </w:r>
      <w:r w:rsidR="00806836" w:rsidRPr="000844FE">
        <w:t>n the community (Article</w:t>
      </w:r>
      <w:r w:rsidR="0046449A" w:rsidRPr="000844FE">
        <w:t xml:space="preserve"> 19). </w:t>
      </w:r>
    </w:p>
    <w:p w14:paraId="2307017B" w14:textId="77777777" w:rsidR="0046449A" w:rsidRPr="000844FE" w:rsidRDefault="0046449A" w:rsidP="001F1BA0"/>
    <w:p w14:paraId="63739554" w14:textId="35545B82" w:rsidR="000C077C" w:rsidRPr="000844FE" w:rsidRDefault="002A343E" w:rsidP="000844FE">
      <w:pPr>
        <w:rPr>
          <w:rFonts w:cs="Arial"/>
          <w:szCs w:val="24"/>
        </w:rPr>
      </w:pPr>
      <w:r w:rsidRPr="000844FE">
        <w:rPr>
          <w:rFonts w:cs="Arial"/>
          <w:szCs w:val="24"/>
        </w:rPr>
        <w:t>Rather, the</w:t>
      </w:r>
      <w:r w:rsidR="005F2DE8" w:rsidRPr="000844FE">
        <w:rPr>
          <w:rFonts w:cs="Arial"/>
          <w:szCs w:val="24"/>
        </w:rPr>
        <w:t xml:space="preserve"> current</w:t>
      </w:r>
      <w:r w:rsidRPr="000844FE">
        <w:rPr>
          <w:rFonts w:cs="Arial"/>
          <w:szCs w:val="24"/>
        </w:rPr>
        <w:t xml:space="preserve"> legal framework addresses </w:t>
      </w:r>
      <w:r w:rsidR="002C52C8" w:rsidRPr="000844FE">
        <w:rPr>
          <w:rFonts w:cs="Arial"/>
          <w:szCs w:val="24"/>
        </w:rPr>
        <w:t xml:space="preserve">the </w:t>
      </w:r>
      <w:r w:rsidRPr="000844FE">
        <w:rPr>
          <w:rFonts w:cs="Arial"/>
          <w:szCs w:val="24"/>
        </w:rPr>
        <w:t>social protection of disabled people</w:t>
      </w:r>
      <w:r w:rsidR="002C52C8" w:rsidRPr="000844FE">
        <w:rPr>
          <w:rFonts w:cs="Arial"/>
          <w:szCs w:val="24"/>
        </w:rPr>
        <w:t>,</w:t>
      </w:r>
      <w:r w:rsidR="0046449A" w:rsidRPr="000844FE">
        <w:rPr>
          <w:rFonts w:cs="Arial"/>
          <w:szCs w:val="24"/>
        </w:rPr>
        <w:t xml:space="preserve"> foreseeing the development of non-discrimination policy on the grounds of disability (</w:t>
      </w:r>
      <w:r w:rsidRPr="000844FE">
        <w:rPr>
          <w:rFonts w:cs="Arial"/>
          <w:szCs w:val="24"/>
        </w:rPr>
        <w:t xml:space="preserve">although </w:t>
      </w:r>
      <w:r w:rsidR="0046449A" w:rsidRPr="000844FE">
        <w:rPr>
          <w:rFonts w:cs="Arial"/>
          <w:szCs w:val="24"/>
        </w:rPr>
        <w:t xml:space="preserve">not yet available), </w:t>
      </w:r>
      <w:r w:rsidRPr="000844FE">
        <w:rPr>
          <w:rFonts w:cs="Arial"/>
          <w:szCs w:val="24"/>
        </w:rPr>
        <w:t>for sectors such as</w:t>
      </w:r>
      <w:r w:rsidR="00DE0B12">
        <w:rPr>
          <w:rFonts w:cs="Arial"/>
          <w:szCs w:val="24"/>
        </w:rPr>
        <w:t xml:space="preserve"> </w:t>
      </w:r>
      <w:r w:rsidRPr="000844FE">
        <w:rPr>
          <w:rFonts w:cs="Arial"/>
          <w:szCs w:val="24"/>
        </w:rPr>
        <w:t>“</w:t>
      </w:r>
      <w:r w:rsidR="0046449A" w:rsidRPr="000844FE">
        <w:rPr>
          <w:rFonts w:cs="Arial"/>
          <w:szCs w:val="24"/>
        </w:rPr>
        <w:t>social security and health provision, social and tax provisions, education and access to common goods and services, including housing”</w:t>
      </w:r>
      <w:r w:rsidR="00162FCF" w:rsidRPr="000844FE">
        <w:rPr>
          <w:rFonts w:cs="Arial"/>
          <w:szCs w:val="24"/>
        </w:rPr>
        <w:t xml:space="preserve"> (Law 4487/2017 </w:t>
      </w:r>
      <w:r w:rsidR="009C6A5C" w:rsidRPr="000844FE">
        <w:rPr>
          <w:rFonts w:cs="Arial"/>
          <w:szCs w:val="24"/>
        </w:rPr>
        <w:t xml:space="preserve">Article 76, </w:t>
      </w:r>
      <w:r w:rsidR="00162FCF" w:rsidRPr="000844FE">
        <w:rPr>
          <w:rFonts w:cs="Arial"/>
          <w:szCs w:val="24"/>
        </w:rPr>
        <w:t>par 4)</w:t>
      </w:r>
      <w:r w:rsidR="0046449A" w:rsidRPr="000844FE">
        <w:rPr>
          <w:rFonts w:cs="Arial"/>
          <w:szCs w:val="24"/>
        </w:rPr>
        <w:t>.</w:t>
      </w:r>
    </w:p>
    <w:p w14:paraId="506627CC" w14:textId="36B38518" w:rsidR="00894E1D" w:rsidRPr="000844FE" w:rsidRDefault="00894E1D" w:rsidP="000844FE">
      <w:pPr>
        <w:rPr>
          <w:rFonts w:cs="Arial"/>
          <w:szCs w:val="24"/>
        </w:rPr>
      </w:pPr>
    </w:p>
    <w:p w14:paraId="23E36BAF" w14:textId="3386E983" w:rsidR="00894E1D" w:rsidRPr="000844FE" w:rsidRDefault="00894E1D" w:rsidP="000844FE">
      <w:pPr>
        <w:rPr>
          <w:rFonts w:cs="Arial"/>
          <w:szCs w:val="24"/>
        </w:rPr>
      </w:pPr>
      <w:r w:rsidRPr="000844FE">
        <w:rPr>
          <w:rFonts w:cs="Arial"/>
          <w:szCs w:val="24"/>
        </w:rPr>
        <w:t>It is worth noting however that</w:t>
      </w:r>
      <w:r w:rsidR="005757D6" w:rsidRPr="000844FE">
        <w:rPr>
          <w:rFonts w:cs="Arial"/>
          <w:szCs w:val="24"/>
        </w:rPr>
        <w:t xml:space="preserve"> ESF</w:t>
      </w:r>
      <w:r w:rsidRPr="000844FE">
        <w:rPr>
          <w:rFonts w:cs="Arial"/>
          <w:szCs w:val="24"/>
        </w:rPr>
        <w:t xml:space="preserve"> funding has been channelled to build the capacity of the disability movement through the establishment</w:t>
      </w:r>
      <w:r w:rsidR="005757D6" w:rsidRPr="000844FE">
        <w:rPr>
          <w:rFonts w:cs="Arial"/>
          <w:szCs w:val="24"/>
        </w:rPr>
        <w:t xml:space="preserve"> of the National Disability Observatory, including</w:t>
      </w:r>
      <w:r w:rsidRPr="000844FE">
        <w:rPr>
          <w:rFonts w:cs="Arial"/>
          <w:szCs w:val="24"/>
        </w:rPr>
        <w:t xml:space="preserve"> </w:t>
      </w:r>
      <w:r w:rsidR="005757D6" w:rsidRPr="000844FE">
        <w:rPr>
          <w:rFonts w:cs="Arial"/>
          <w:szCs w:val="24"/>
        </w:rPr>
        <w:t>improved</w:t>
      </w:r>
      <w:r w:rsidRPr="000844FE">
        <w:rPr>
          <w:rFonts w:cs="Arial"/>
          <w:szCs w:val="24"/>
        </w:rPr>
        <w:t xml:space="preserve"> research capacity and information management systems on disability related matters</w:t>
      </w:r>
      <w:r w:rsidR="005757D6" w:rsidRPr="000844FE">
        <w:rPr>
          <w:rFonts w:cs="Arial"/>
          <w:szCs w:val="24"/>
        </w:rPr>
        <w:t xml:space="preserve">, with a total budget of </w:t>
      </w:r>
      <w:r w:rsidR="00DE0B12">
        <w:rPr>
          <w:rFonts w:cs="Arial"/>
          <w:szCs w:val="24"/>
        </w:rPr>
        <w:t xml:space="preserve">EUR </w:t>
      </w:r>
      <w:r w:rsidR="005757D6" w:rsidRPr="000844FE">
        <w:rPr>
          <w:rFonts w:cs="Arial"/>
          <w:szCs w:val="24"/>
        </w:rPr>
        <w:t>1,500,000</w:t>
      </w:r>
      <w:r w:rsidR="00DE0B12">
        <w:rPr>
          <w:rFonts w:cs="Arial"/>
          <w:szCs w:val="24"/>
        </w:rPr>
        <w:t>.</w:t>
      </w:r>
      <w:r w:rsidR="005757D6" w:rsidRPr="000844FE">
        <w:rPr>
          <w:rStyle w:val="FootnoteReference"/>
          <w:rFonts w:cs="Arial"/>
          <w:sz w:val="24"/>
          <w:szCs w:val="24"/>
        </w:rPr>
        <w:footnoteReference w:id="66"/>
      </w:r>
    </w:p>
    <w:p w14:paraId="24B76037" w14:textId="77777777" w:rsidR="00173EF0" w:rsidRPr="000844FE" w:rsidRDefault="00173EF0" w:rsidP="00DE0B12"/>
    <w:p w14:paraId="589450E1" w14:textId="6B5DFB17" w:rsidR="008E4ACD" w:rsidRPr="000844FE" w:rsidRDefault="008E4ACD" w:rsidP="00DE0B12">
      <w:pPr>
        <w:pStyle w:val="Heading2"/>
      </w:pPr>
      <w:bookmarkStart w:id="39" w:name="_Toc529874073"/>
      <w:bookmarkStart w:id="40" w:name="_Toc7608767"/>
      <w:r w:rsidRPr="000844FE">
        <w:t xml:space="preserve">Satisfaction </w:t>
      </w:r>
      <w:r w:rsidR="007A1049" w:rsidRPr="000844FE">
        <w:t xml:space="preserve">levels </w:t>
      </w:r>
      <w:r w:rsidRPr="000844FE">
        <w:t>among persons with disabilities</w:t>
      </w:r>
      <w:bookmarkEnd w:id="39"/>
      <w:bookmarkEnd w:id="40"/>
    </w:p>
    <w:p w14:paraId="1BB43AAC" w14:textId="0F76A48F" w:rsidR="0062482A" w:rsidRPr="000844FE" w:rsidRDefault="0062482A" w:rsidP="00DE0B12"/>
    <w:p w14:paraId="04080451" w14:textId="59419CD0" w:rsidR="00DE0B12" w:rsidRDefault="0062482A" w:rsidP="00DE0B12">
      <w:pPr>
        <w:rPr>
          <w:rFonts w:cs="Arial"/>
          <w:szCs w:val="24"/>
        </w:rPr>
      </w:pPr>
      <w:r w:rsidRPr="000844FE">
        <w:rPr>
          <w:rFonts w:cs="Arial"/>
          <w:szCs w:val="24"/>
        </w:rPr>
        <w:t>No information identified</w:t>
      </w:r>
      <w:r w:rsidR="00503AAF" w:rsidRPr="000844FE">
        <w:rPr>
          <w:rFonts w:cs="Arial"/>
          <w:szCs w:val="24"/>
        </w:rPr>
        <w:t>/ publicly available</w:t>
      </w:r>
      <w:r w:rsidRPr="000844FE">
        <w:rPr>
          <w:rFonts w:cs="Arial"/>
          <w:szCs w:val="24"/>
        </w:rPr>
        <w:t>.</w:t>
      </w:r>
      <w:r w:rsidR="00503AAF" w:rsidRPr="000844FE">
        <w:rPr>
          <w:rFonts w:cs="Arial"/>
          <w:szCs w:val="24"/>
        </w:rPr>
        <w:t xml:space="preserve"> P</w:t>
      </w:r>
      <w:r w:rsidR="00107B86" w:rsidRPr="000844FE">
        <w:rPr>
          <w:rFonts w:cs="Arial"/>
          <w:szCs w:val="24"/>
        </w:rPr>
        <w:t>lease see also section 3.4 noting that monitoring/ data collection systems have just been established across operational programs under ESIF 2014-2020.</w:t>
      </w:r>
      <w:r w:rsidR="00061A17" w:rsidRPr="000844FE">
        <w:rPr>
          <w:rFonts w:cs="Arial"/>
          <w:szCs w:val="24"/>
        </w:rPr>
        <w:t xml:space="preserve"> The extent to which these will include participation of people with disabilities directly benefiting from funded actions is questionable given the lack of </w:t>
      </w:r>
      <w:r w:rsidR="00585510" w:rsidRPr="000844FE">
        <w:rPr>
          <w:rFonts w:cs="Arial"/>
          <w:szCs w:val="24"/>
        </w:rPr>
        <w:t>such data and/or</w:t>
      </w:r>
      <w:r w:rsidR="00061A17" w:rsidRPr="000844FE">
        <w:rPr>
          <w:rFonts w:cs="Arial"/>
          <w:szCs w:val="24"/>
        </w:rPr>
        <w:t xml:space="preserve"> practice to date.</w:t>
      </w:r>
      <w:r w:rsidR="00107B86" w:rsidRPr="000844FE">
        <w:rPr>
          <w:rFonts w:cs="Arial"/>
          <w:szCs w:val="24"/>
        </w:rPr>
        <w:t xml:space="preserve"> </w:t>
      </w:r>
    </w:p>
    <w:p w14:paraId="5F49CDB7" w14:textId="77777777" w:rsidR="00C105A4" w:rsidRDefault="00C105A4">
      <w:pPr>
        <w:spacing w:after="200" w:line="276" w:lineRule="auto"/>
        <w:jc w:val="left"/>
        <w:rPr>
          <w:rFonts w:eastAsiaTheme="majorEastAsia" w:cs="Arial"/>
          <w:b/>
          <w:bCs/>
          <w:szCs w:val="24"/>
          <w:lang w:bidi="en-US"/>
        </w:rPr>
      </w:pPr>
      <w:bookmarkStart w:id="41" w:name="_Toc529874074"/>
      <w:r>
        <w:rPr>
          <w:rFonts w:cs="Arial"/>
          <w:szCs w:val="24"/>
        </w:rPr>
        <w:br w:type="page"/>
      </w:r>
    </w:p>
    <w:p w14:paraId="292E9577" w14:textId="3CDF5843" w:rsidR="008E4ACD" w:rsidRDefault="008E4ACD" w:rsidP="00DE0B12">
      <w:pPr>
        <w:pStyle w:val="Heading1"/>
        <w:keepNext/>
        <w:keepLines/>
        <w:numPr>
          <w:ilvl w:val="0"/>
          <w:numId w:val="0"/>
        </w:numPr>
        <w:rPr>
          <w:rFonts w:cs="Arial"/>
          <w:szCs w:val="24"/>
        </w:rPr>
      </w:pPr>
      <w:bookmarkStart w:id="42" w:name="_Toc7608768"/>
      <w:r w:rsidRPr="000844FE">
        <w:rPr>
          <w:rFonts w:cs="Arial"/>
          <w:szCs w:val="24"/>
        </w:rPr>
        <w:lastRenderedPageBreak/>
        <w:t xml:space="preserve">PART B – </w:t>
      </w:r>
      <w:r w:rsidR="00DA2456" w:rsidRPr="000844FE">
        <w:rPr>
          <w:rFonts w:cs="Arial"/>
          <w:szCs w:val="24"/>
        </w:rPr>
        <w:t>C</w:t>
      </w:r>
      <w:r w:rsidRPr="000844FE">
        <w:rPr>
          <w:rFonts w:cs="Arial"/>
          <w:szCs w:val="24"/>
        </w:rPr>
        <w:t>ritique and evaluation</w:t>
      </w:r>
      <w:bookmarkEnd w:id="41"/>
      <w:bookmarkEnd w:id="42"/>
    </w:p>
    <w:p w14:paraId="622E7B5D" w14:textId="77777777" w:rsidR="00DE0B12" w:rsidRDefault="00DE0B12" w:rsidP="00DE0B12">
      <w:bookmarkStart w:id="43" w:name="_Toc529874075"/>
    </w:p>
    <w:p w14:paraId="7B28BE02" w14:textId="6A8A9978" w:rsidR="008E4ACD" w:rsidRPr="000844FE" w:rsidRDefault="008E4ACD" w:rsidP="00DE0B12">
      <w:pPr>
        <w:pStyle w:val="Heading1"/>
      </w:pPr>
      <w:bookmarkStart w:id="44" w:name="_Toc7608769"/>
      <w:r w:rsidRPr="000844FE">
        <w:t>Observations and recommendations of official bodies</w:t>
      </w:r>
      <w:bookmarkEnd w:id="43"/>
      <w:bookmarkEnd w:id="44"/>
    </w:p>
    <w:p w14:paraId="650E5360" w14:textId="77777777" w:rsidR="008E4ACD" w:rsidRPr="000844FE" w:rsidRDefault="008E4ACD" w:rsidP="00DE0B12"/>
    <w:p w14:paraId="71A1856E" w14:textId="3C69FDB6" w:rsidR="008E4ACD" w:rsidRPr="000844FE" w:rsidRDefault="008E4ACD" w:rsidP="00DE0B12">
      <w:pPr>
        <w:pStyle w:val="Heading2"/>
      </w:pPr>
      <w:bookmarkStart w:id="45" w:name="_Toc529874076"/>
      <w:bookmarkStart w:id="46" w:name="_Toc7608770"/>
      <w:r w:rsidRPr="000844FE">
        <w:t>Observations by the UN Committee on the Rights of Persons with Disabilities</w:t>
      </w:r>
      <w:bookmarkEnd w:id="45"/>
      <w:r w:rsidR="00C15268" w:rsidRPr="000844FE">
        <w:t xml:space="preserve"> on Article 19</w:t>
      </w:r>
      <w:bookmarkEnd w:id="46"/>
    </w:p>
    <w:p w14:paraId="2B9C10E8" w14:textId="77777777" w:rsidR="001713F6" w:rsidRPr="000844FE" w:rsidRDefault="001713F6" w:rsidP="000844FE">
      <w:pPr>
        <w:rPr>
          <w:rFonts w:cs="Arial"/>
          <w:szCs w:val="24"/>
        </w:rPr>
      </w:pPr>
    </w:p>
    <w:p w14:paraId="7F6EC73F" w14:textId="2486B551" w:rsidR="00E607BA" w:rsidRPr="000844FE" w:rsidRDefault="00E607BA" w:rsidP="000844FE">
      <w:pPr>
        <w:rPr>
          <w:rFonts w:cs="Arial"/>
          <w:szCs w:val="24"/>
        </w:rPr>
      </w:pPr>
      <w:r w:rsidRPr="000844FE">
        <w:rPr>
          <w:rFonts w:cs="Arial"/>
          <w:szCs w:val="24"/>
        </w:rPr>
        <w:t>Please note The UN CRPD Concluding Observations to the State Party’s Report (2015)</w:t>
      </w:r>
      <w:bookmarkStart w:id="47" w:name="_GoBack"/>
      <w:bookmarkEnd w:id="47"/>
      <w:r w:rsidRPr="000844FE">
        <w:rPr>
          <w:rFonts w:cs="Arial"/>
          <w:szCs w:val="24"/>
          <w:vertAlign w:val="superscript"/>
        </w:rPr>
        <w:footnoteReference w:id="67"/>
      </w:r>
      <w:r w:rsidRPr="000844FE">
        <w:rPr>
          <w:rFonts w:cs="Arial"/>
          <w:szCs w:val="24"/>
        </w:rPr>
        <w:t xml:space="preserve"> </w:t>
      </w:r>
      <w:r w:rsidR="007342E9" w:rsidRPr="000844FE">
        <w:rPr>
          <w:rFonts w:cs="Arial"/>
          <w:szCs w:val="24"/>
        </w:rPr>
        <w:t>have</w:t>
      </w:r>
      <w:r w:rsidRPr="000844FE">
        <w:rPr>
          <w:rFonts w:cs="Arial"/>
          <w:szCs w:val="24"/>
        </w:rPr>
        <w:t xml:space="preserve"> not</w:t>
      </w:r>
      <w:r w:rsidR="007342E9" w:rsidRPr="000844FE">
        <w:rPr>
          <w:rFonts w:cs="Arial"/>
          <w:szCs w:val="24"/>
        </w:rPr>
        <w:t xml:space="preserve"> been</w:t>
      </w:r>
      <w:r w:rsidRPr="000844FE">
        <w:rPr>
          <w:rFonts w:cs="Arial"/>
          <w:szCs w:val="24"/>
        </w:rPr>
        <w:t xml:space="preserve"> </w:t>
      </w:r>
      <w:r w:rsidR="007342E9" w:rsidRPr="000844FE">
        <w:rPr>
          <w:rFonts w:cs="Arial"/>
          <w:szCs w:val="24"/>
        </w:rPr>
        <w:t>published</w:t>
      </w:r>
      <w:r w:rsidRPr="000844FE">
        <w:rPr>
          <w:rFonts w:cs="Arial"/>
          <w:szCs w:val="24"/>
        </w:rPr>
        <w:t xml:space="preserve"> to date</w:t>
      </w:r>
      <w:r w:rsidR="00DE0B12">
        <w:rPr>
          <w:rFonts w:cs="Arial"/>
          <w:szCs w:val="24"/>
        </w:rPr>
        <w:t>.</w:t>
      </w:r>
      <w:r w:rsidRPr="000844FE">
        <w:rPr>
          <w:rFonts w:cs="Arial"/>
          <w:szCs w:val="24"/>
          <w:vertAlign w:val="superscript"/>
        </w:rPr>
        <w:footnoteReference w:id="68"/>
      </w:r>
    </w:p>
    <w:p w14:paraId="16234553" w14:textId="4AA33A8B" w:rsidR="008E4ACD" w:rsidRPr="000844FE" w:rsidRDefault="008E4ACD" w:rsidP="00DE0B12"/>
    <w:p w14:paraId="62273A9F" w14:textId="64E9F7C9" w:rsidR="008E4ACD" w:rsidRPr="000844FE" w:rsidRDefault="008E4ACD" w:rsidP="00DE0B12">
      <w:pPr>
        <w:pStyle w:val="Heading2"/>
      </w:pPr>
      <w:bookmarkStart w:id="48" w:name="_Toc529874077"/>
      <w:bookmarkStart w:id="49" w:name="_Toc7608771"/>
      <w:r w:rsidRPr="000844FE">
        <w:t>Recent observations by other official European and international bodies</w:t>
      </w:r>
      <w:bookmarkEnd w:id="48"/>
      <w:bookmarkEnd w:id="49"/>
    </w:p>
    <w:p w14:paraId="51D66C4E" w14:textId="7543A446" w:rsidR="00D32605" w:rsidRPr="000844FE" w:rsidRDefault="00D32605" w:rsidP="00DE0B12"/>
    <w:p w14:paraId="7767A543" w14:textId="0D366BE0" w:rsidR="0062428C" w:rsidRPr="000844FE" w:rsidRDefault="00C902D0" w:rsidP="000844FE">
      <w:pPr>
        <w:pStyle w:val="ListParagraph"/>
        <w:ind w:left="0"/>
        <w:rPr>
          <w:rFonts w:cs="Arial"/>
          <w:szCs w:val="24"/>
        </w:rPr>
      </w:pPr>
      <w:r w:rsidRPr="000844FE">
        <w:rPr>
          <w:rFonts w:cs="Arial"/>
          <w:szCs w:val="24"/>
        </w:rPr>
        <w:t>T</w:t>
      </w:r>
      <w:r w:rsidR="006C7FB7" w:rsidRPr="000844FE">
        <w:rPr>
          <w:rFonts w:cs="Arial"/>
          <w:szCs w:val="24"/>
        </w:rPr>
        <w:t>he need for de-institutionalisation</w:t>
      </w:r>
      <w:r w:rsidR="00B76FB9" w:rsidRPr="000844FE">
        <w:rPr>
          <w:rFonts w:cs="Arial"/>
          <w:szCs w:val="24"/>
        </w:rPr>
        <w:t xml:space="preserve"> in Greece</w:t>
      </w:r>
      <w:r w:rsidR="006C7FB7" w:rsidRPr="000844FE">
        <w:rPr>
          <w:rFonts w:cs="Arial"/>
          <w:szCs w:val="24"/>
        </w:rPr>
        <w:t xml:space="preserve"> has been highlighted repeate</w:t>
      </w:r>
      <w:r w:rsidR="00B568FD" w:rsidRPr="000844FE">
        <w:rPr>
          <w:rFonts w:cs="Arial"/>
          <w:szCs w:val="24"/>
        </w:rPr>
        <w:t xml:space="preserve">dly in recommendations by UN and EU bodies </w:t>
      </w:r>
      <w:r w:rsidR="006C7FB7" w:rsidRPr="000844FE">
        <w:rPr>
          <w:rFonts w:cs="Arial"/>
          <w:szCs w:val="24"/>
        </w:rPr>
        <w:t>pointing to serious violations of</w:t>
      </w:r>
      <w:r w:rsidRPr="000844FE">
        <w:rPr>
          <w:rFonts w:cs="Arial"/>
          <w:szCs w:val="24"/>
        </w:rPr>
        <w:t xml:space="preserve"> rights</w:t>
      </w:r>
      <w:r w:rsidR="00FE3794" w:rsidRPr="000844FE">
        <w:rPr>
          <w:rFonts w:cs="Arial"/>
          <w:szCs w:val="24"/>
        </w:rPr>
        <w:t>.</w:t>
      </w:r>
      <w:r w:rsidR="006C7FB7" w:rsidRPr="000844FE">
        <w:rPr>
          <w:rFonts w:cs="Arial"/>
          <w:szCs w:val="24"/>
        </w:rPr>
        <w:t xml:space="preserve"> </w:t>
      </w:r>
    </w:p>
    <w:p w14:paraId="025D0C9F" w14:textId="77777777" w:rsidR="0062428C" w:rsidRPr="000844FE" w:rsidRDefault="0062428C" w:rsidP="000844FE">
      <w:pPr>
        <w:pStyle w:val="ListParagraph"/>
        <w:ind w:left="0"/>
        <w:rPr>
          <w:rFonts w:cs="Arial"/>
          <w:szCs w:val="24"/>
        </w:rPr>
      </w:pPr>
    </w:p>
    <w:p w14:paraId="0788D5EC" w14:textId="3F01F576" w:rsidR="0062428C" w:rsidRPr="000844FE" w:rsidRDefault="00FE3794" w:rsidP="000844FE">
      <w:pPr>
        <w:pStyle w:val="ListParagraph"/>
        <w:ind w:left="0"/>
        <w:rPr>
          <w:rFonts w:cs="Arial"/>
          <w:bCs/>
          <w:szCs w:val="24"/>
        </w:rPr>
      </w:pPr>
      <w:r w:rsidRPr="000844FE">
        <w:rPr>
          <w:rFonts w:cs="Arial"/>
          <w:szCs w:val="24"/>
        </w:rPr>
        <w:t>T</w:t>
      </w:r>
      <w:r w:rsidR="006C7FB7" w:rsidRPr="000844FE">
        <w:rPr>
          <w:rFonts w:cs="Arial"/>
          <w:szCs w:val="24"/>
        </w:rPr>
        <w:t>he UN Hum</w:t>
      </w:r>
      <w:r w:rsidR="00064FF0" w:rsidRPr="000844FE">
        <w:rPr>
          <w:rFonts w:cs="Arial"/>
          <w:szCs w:val="24"/>
        </w:rPr>
        <w:t>an Rights Committee (2015)</w:t>
      </w:r>
      <w:r w:rsidR="00064FF0" w:rsidRPr="000844FE">
        <w:rPr>
          <w:rStyle w:val="FootnoteReference"/>
          <w:rFonts w:eastAsiaTheme="majorEastAsia" w:cs="Arial"/>
          <w:bCs/>
          <w:sz w:val="24"/>
          <w:szCs w:val="24"/>
        </w:rPr>
        <w:footnoteReference w:id="69"/>
      </w:r>
      <w:r w:rsidR="00064FF0" w:rsidRPr="000844FE">
        <w:rPr>
          <w:rFonts w:cs="Arial"/>
          <w:bCs/>
          <w:szCs w:val="24"/>
        </w:rPr>
        <w:t xml:space="preserve"> </w:t>
      </w:r>
      <w:r w:rsidR="006C7FB7" w:rsidRPr="000844FE">
        <w:rPr>
          <w:rFonts w:cs="Arial"/>
          <w:szCs w:val="24"/>
        </w:rPr>
        <w:t>“notes with concern the discrimination faced by persons with disabilities, in particular with regard to access to education, employment and health services...”, and makes reference to “...reports indicating the continuing widespread use of such measures (physical restraint), including the use of enclosed restraint beds (cages/net beds) and systematic sedation as a means to restrain patients with intellectual disabilities, including children, in institutions. (arts. 2, 7, 9, 10 and 24)”</w:t>
      </w:r>
      <w:r w:rsidR="0062428C" w:rsidRPr="000844FE">
        <w:rPr>
          <w:rFonts w:cs="Arial"/>
          <w:szCs w:val="24"/>
        </w:rPr>
        <w:t xml:space="preserve">. </w:t>
      </w:r>
      <w:r w:rsidR="00E2532C" w:rsidRPr="000844FE">
        <w:rPr>
          <w:rFonts w:cs="Arial"/>
          <w:szCs w:val="24"/>
        </w:rPr>
        <w:t>To this end, the UN Human Rights Committe</w:t>
      </w:r>
      <w:r w:rsidR="0062428C" w:rsidRPr="000844FE">
        <w:rPr>
          <w:rFonts w:cs="Arial"/>
          <w:szCs w:val="24"/>
        </w:rPr>
        <w:t xml:space="preserve">e (2015) makes a specific </w:t>
      </w:r>
      <w:r w:rsidR="0062428C" w:rsidRPr="000844FE">
        <w:rPr>
          <w:rFonts w:cs="Arial"/>
          <w:bCs/>
          <w:szCs w:val="24"/>
        </w:rPr>
        <w:t>recommendation that:</w:t>
      </w:r>
      <w:r w:rsidR="006D08BC" w:rsidRPr="000844FE">
        <w:rPr>
          <w:rFonts w:cs="Arial"/>
          <w:bCs/>
          <w:szCs w:val="24"/>
        </w:rPr>
        <w:t xml:space="preserve"> </w:t>
      </w:r>
    </w:p>
    <w:p w14:paraId="7092F4E6" w14:textId="77777777" w:rsidR="0062428C" w:rsidRPr="000844FE" w:rsidRDefault="0062428C" w:rsidP="000844FE">
      <w:pPr>
        <w:pStyle w:val="ListParagraph"/>
        <w:ind w:left="0"/>
        <w:rPr>
          <w:rFonts w:cs="Arial"/>
          <w:bCs/>
          <w:szCs w:val="24"/>
        </w:rPr>
      </w:pPr>
    </w:p>
    <w:p w14:paraId="638D1D9D" w14:textId="4B199426" w:rsidR="006D08BC" w:rsidRPr="000844FE" w:rsidRDefault="006D08BC" w:rsidP="000844FE">
      <w:pPr>
        <w:pStyle w:val="ListParagraph"/>
        <w:ind w:left="0"/>
        <w:rPr>
          <w:rFonts w:cs="Arial"/>
          <w:szCs w:val="24"/>
        </w:rPr>
      </w:pPr>
      <w:r w:rsidRPr="000844FE">
        <w:rPr>
          <w:rFonts w:cs="Arial"/>
          <w:bCs/>
          <w:szCs w:val="24"/>
        </w:rPr>
        <w:t xml:space="preserve">“The State party should take immediate measures to abolish the use of enclosed restraint beds and systematic sedation in psychiatric and related institutions. </w:t>
      </w:r>
      <w:r w:rsidRPr="000844FE">
        <w:rPr>
          <w:rFonts w:cs="Arial"/>
          <w:szCs w:val="24"/>
        </w:rPr>
        <w:t>Furthermore, the State party should establish an independent monitoring and reporting system</w:t>
      </w:r>
      <w:r w:rsidR="00F50E2F">
        <w:rPr>
          <w:rFonts w:cs="Arial"/>
          <w:szCs w:val="24"/>
        </w:rPr>
        <w:t xml:space="preserve"> </w:t>
      </w:r>
      <w:r w:rsidRPr="000844FE">
        <w:rPr>
          <w:rFonts w:cs="Arial"/>
          <w:szCs w:val="24"/>
        </w:rPr>
        <w:t>and ensure that abuses are effectively investigated and prosecuted</w:t>
      </w:r>
      <w:r w:rsidR="00F50E2F">
        <w:rPr>
          <w:rFonts w:cs="Arial"/>
          <w:szCs w:val="24"/>
        </w:rPr>
        <w:t>,</w:t>
      </w:r>
      <w:r w:rsidRPr="000844FE">
        <w:rPr>
          <w:rFonts w:cs="Arial"/>
          <w:szCs w:val="24"/>
        </w:rPr>
        <w:t xml:space="preserve"> and that redress is provided to the victims and their families.”</w:t>
      </w:r>
      <w:r w:rsidR="0062428C" w:rsidRPr="000844FE">
        <w:rPr>
          <w:rStyle w:val="FootnoteReference"/>
          <w:rFonts w:cs="Arial"/>
          <w:sz w:val="24"/>
          <w:szCs w:val="24"/>
        </w:rPr>
        <w:footnoteReference w:id="70"/>
      </w:r>
    </w:p>
    <w:p w14:paraId="0EAC8EE4" w14:textId="77777777" w:rsidR="006D08BC" w:rsidRPr="000844FE" w:rsidRDefault="006D08BC" w:rsidP="000844FE">
      <w:pPr>
        <w:pStyle w:val="ListParagraph"/>
        <w:ind w:left="0"/>
        <w:rPr>
          <w:rFonts w:cs="Arial"/>
          <w:szCs w:val="24"/>
        </w:rPr>
      </w:pPr>
    </w:p>
    <w:p w14:paraId="2E79DB0B" w14:textId="4C8C38FA" w:rsidR="002C7D23" w:rsidRPr="000844FE" w:rsidRDefault="006D08BC" w:rsidP="000844FE">
      <w:pPr>
        <w:rPr>
          <w:rFonts w:cs="Arial"/>
          <w:szCs w:val="24"/>
        </w:rPr>
      </w:pPr>
      <w:r w:rsidRPr="000844FE">
        <w:rPr>
          <w:rFonts w:cs="Arial"/>
          <w:szCs w:val="24"/>
        </w:rPr>
        <w:t>In 2016, the Commissioner of Human Rights, Council of Europe expressed the following concerns to the c</w:t>
      </w:r>
      <w:r w:rsidR="002C7D23" w:rsidRPr="000844FE">
        <w:rPr>
          <w:rFonts w:cs="Arial"/>
          <w:szCs w:val="24"/>
        </w:rPr>
        <w:t>ompetent Ministries at the time</w:t>
      </w:r>
      <w:r w:rsidR="00A266D0" w:rsidRPr="000844FE">
        <w:rPr>
          <w:rFonts w:cs="Arial"/>
          <w:szCs w:val="24"/>
        </w:rPr>
        <w:t>:</w:t>
      </w:r>
    </w:p>
    <w:p w14:paraId="411DCFBE" w14:textId="77777777" w:rsidR="002C7D23" w:rsidRPr="000844FE" w:rsidRDefault="002C7D23" w:rsidP="000844FE">
      <w:pPr>
        <w:rPr>
          <w:rFonts w:cs="Arial"/>
          <w:szCs w:val="24"/>
        </w:rPr>
      </w:pPr>
    </w:p>
    <w:p w14:paraId="2EC5FC56" w14:textId="37566EFE" w:rsidR="006D08BC" w:rsidRPr="000844FE" w:rsidRDefault="002C7D23" w:rsidP="000844FE">
      <w:pPr>
        <w:rPr>
          <w:rFonts w:cs="Arial"/>
          <w:szCs w:val="24"/>
        </w:rPr>
      </w:pPr>
      <w:r w:rsidRPr="000844FE">
        <w:rPr>
          <w:rFonts w:cs="Arial"/>
          <w:szCs w:val="24"/>
        </w:rPr>
        <w:t>“</w:t>
      </w:r>
      <w:r w:rsidR="006D08BC" w:rsidRPr="000844FE">
        <w:rPr>
          <w:rFonts w:cs="Arial"/>
          <w:szCs w:val="24"/>
        </w:rPr>
        <w:t>The persisting, grave deficiencies in the state mental health care system require more proactivity and coordination by the state, more rigorous planning and a stronger and more effective monitoring system…</w:t>
      </w:r>
      <w:r w:rsidR="00771065" w:rsidRPr="000844FE">
        <w:rPr>
          <w:rFonts w:cs="Arial"/>
          <w:szCs w:val="24"/>
        </w:rPr>
        <w:t>t</w:t>
      </w:r>
      <w:r w:rsidR="006D08BC" w:rsidRPr="000844FE">
        <w:rPr>
          <w:rFonts w:cs="Arial"/>
          <w:szCs w:val="24"/>
        </w:rPr>
        <w:t xml:space="preserve">he Commissioner also encourages the Greek government to eliminate involuntary placements, forced treatment and the use of </w:t>
      </w:r>
      <w:r w:rsidR="006D08BC" w:rsidRPr="000844FE">
        <w:rPr>
          <w:rFonts w:cs="Arial"/>
          <w:szCs w:val="24"/>
        </w:rPr>
        <w:lastRenderedPageBreak/>
        <w:t>physical restraints in psychiatry, and to redouble efforts to achieve the de-institutionalisation objectives set in the successive psychiatric reforms.</w:t>
      </w:r>
      <w:r w:rsidR="00D86F75" w:rsidRPr="000844FE">
        <w:rPr>
          <w:rFonts w:cs="Arial"/>
          <w:szCs w:val="24"/>
        </w:rPr>
        <w:t>”</w:t>
      </w:r>
      <w:r w:rsidR="00D86F75" w:rsidRPr="000844FE">
        <w:rPr>
          <w:rStyle w:val="FootnoteReference"/>
          <w:rFonts w:cs="Arial"/>
          <w:sz w:val="24"/>
          <w:szCs w:val="24"/>
        </w:rPr>
        <w:footnoteReference w:id="71"/>
      </w:r>
    </w:p>
    <w:p w14:paraId="513C2FA1" w14:textId="14373D11" w:rsidR="00222A68" w:rsidRPr="000844FE" w:rsidRDefault="00222A68" w:rsidP="000844FE">
      <w:pPr>
        <w:rPr>
          <w:rFonts w:cs="Arial"/>
          <w:szCs w:val="24"/>
        </w:rPr>
      </w:pPr>
    </w:p>
    <w:p w14:paraId="0D61B70D" w14:textId="65D677E7" w:rsidR="00222A68" w:rsidRPr="000844FE" w:rsidRDefault="00222A68" w:rsidP="000844FE">
      <w:pPr>
        <w:rPr>
          <w:rFonts w:cs="Arial"/>
          <w:szCs w:val="24"/>
        </w:rPr>
      </w:pPr>
      <w:r w:rsidRPr="000844FE">
        <w:rPr>
          <w:rFonts w:cs="Arial"/>
          <w:szCs w:val="24"/>
        </w:rPr>
        <w:t>More recently, following a monitoring visit in April 2018, the Commissioner of</w:t>
      </w:r>
      <w:r w:rsidR="00DE0B12">
        <w:rPr>
          <w:rFonts w:cs="Arial"/>
          <w:szCs w:val="24"/>
        </w:rPr>
        <w:t xml:space="preserve"> </w:t>
      </w:r>
      <w:r w:rsidRPr="000844FE">
        <w:rPr>
          <w:rFonts w:cs="Arial"/>
          <w:szCs w:val="24"/>
        </w:rPr>
        <w:t xml:space="preserve">Human Rights observed </w:t>
      </w:r>
      <w:r w:rsidR="00E56F50" w:rsidRPr="000844FE">
        <w:rPr>
          <w:rFonts w:cs="Arial"/>
          <w:szCs w:val="24"/>
        </w:rPr>
        <w:t>“</w:t>
      </w:r>
      <w:r w:rsidRPr="000844FE">
        <w:rPr>
          <w:rFonts w:cs="Arial"/>
          <w:szCs w:val="24"/>
        </w:rPr>
        <w:t>the seriously inadequate staffing of mental health institutions which results in overreliance on the use of physical restraint. It was emphasised that budget constraints should not result in the violation of human rights or marginalisation and encouraged the Greek authorities to use available resources for deinstitutionali</w:t>
      </w:r>
      <w:r w:rsidR="00F50E2F">
        <w:rPr>
          <w:rFonts w:cs="Arial"/>
          <w:szCs w:val="24"/>
        </w:rPr>
        <w:t>s</w:t>
      </w:r>
      <w:r w:rsidRPr="000844FE">
        <w:rPr>
          <w:rFonts w:cs="Arial"/>
          <w:szCs w:val="24"/>
        </w:rPr>
        <w:t>ation and social inclusion of people with mental and intellectual dis</w:t>
      </w:r>
      <w:r w:rsidR="00E56F50" w:rsidRPr="000844FE">
        <w:rPr>
          <w:rFonts w:cs="Arial"/>
          <w:szCs w:val="24"/>
        </w:rPr>
        <w:t>abi</w:t>
      </w:r>
      <w:r w:rsidR="004C6680" w:rsidRPr="000844FE">
        <w:rPr>
          <w:rFonts w:cs="Arial"/>
          <w:szCs w:val="24"/>
        </w:rPr>
        <w:t>lities</w:t>
      </w:r>
      <w:r w:rsidR="00DE0B12">
        <w:rPr>
          <w:rFonts w:cs="Arial"/>
          <w:szCs w:val="24"/>
        </w:rPr>
        <w:t>.</w:t>
      </w:r>
      <w:r w:rsidRPr="000844FE">
        <w:rPr>
          <w:rFonts w:cs="Arial"/>
          <w:szCs w:val="24"/>
          <w:vertAlign w:val="superscript"/>
        </w:rPr>
        <w:footnoteReference w:id="72"/>
      </w:r>
    </w:p>
    <w:p w14:paraId="32FBDD53" w14:textId="77777777" w:rsidR="006D08BC" w:rsidRPr="000844FE" w:rsidRDefault="006D08BC" w:rsidP="00DE0B12"/>
    <w:p w14:paraId="5980F8A1" w14:textId="509B15B8" w:rsidR="008E4ACD" w:rsidRPr="000844FE" w:rsidRDefault="008E4ACD" w:rsidP="00DE0B12">
      <w:pPr>
        <w:pStyle w:val="Heading2"/>
      </w:pPr>
      <w:bookmarkStart w:id="50" w:name="_Toc529874078"/>
      <w:bookmarkStart w:id="51" w:name="_Toc7608772"/>
      <w:r w:rsidRPr="000844FE">
        <w:t>Observations and recommendations by national human rights bodies</w:t>
      </w:r>
      <w:bookmarkEnd w:id="50"/>
      <w:bookmarkEnd w:id="51"/>
    </w:p>
    <w:p w14:paraId="34FF15B9" w14:textId="203ACFC3" w:rsidR="00870FA9" w:rsidRPr="000844FE" w:rsidRDefault="00870FA9" w:rsidP="00DE0B12"/>
    <w:p w14:paraId="233E35A4" w14:textId="5F0D190F" w:rsidR="00870FA9" w:rsidRPr="000844FE" w:rsidRDefault="00870FA9" w:rsidP="000844FE">
      <w:pPr>
        <w:rPr>
          <w:rFonts w:cs="Arial"/>
          <w:szCs w:val="24"/>
        </w:rPr>
      </w:pPr>
      <w:r w:rsidRPr="000844FE">
        <w:rPr>
          <w:rFonts w:cs="Arial"/>
          <w:szCs w:val="24"/>
        </w:rPr>
        <w:t>The Greek Ombudsman for Child Rights Report (2015)</w:t>
      </w:r>
      <w:r w:rsidRPr="000844FE">
        <w:rPr>
          <w:rStyle w:val="FootnoteReference"/>
          <w:rFonts w:cs="Arial"/>
          <w:sz w:val="24"/>
          <w:szCs w:val="24"/>
        </w:rPr>
        <w:footnoteReference w:id="73"/>
      </w:r>
      <w:r w:rsidRPr="000844FE">
        <w:rPr>
          <w:rFonts w:cs="Arial"/>
          <w:szCs w:val="24"/>
        </w:rPr>
        <w:t xml:space="preserve"> further highlights the lack of a legislative and minimum quality standards framework</w:t>
      </w:r>
      <w:r w:rsidR="007342E9" w:rsidRPr="000844FE">
        <w:rPr>
          <w:rFonts w:cs="Arial"/>
          <w:szCs w:val="24"/>
        </w:rPr>
        <w:t xml:space="preserve"> in service provision for children</w:t>
      </w:r>
      <w:r w:rsidRPr="000844FE">
        <w:rPr>
          <w:rFonts w:cs="Arial"/>
          <w:szCs w:val="24"/>
        </w:rPr>
        <w:t>, which it notes must be aligned with the UN Convention for the Rights of Child. The report refers inter alia to the significant shortcomings in residential care for children with disabilities, the lack of policies for alternative care settings, the lack of suitable care for children and teenagers with mental health and behavioural problems, and the lack of ensuring the right of children to adequate information and participation i</w:t>
      </w:r>
      <w:r w:rsidR="00E34F3A" w:rsidRPr="000844FE">
        <w:rPr>
          <w:rFonts w:cs="Arial"/>
          <w:szCs w:val="24"/>
        </w:rPr>
        <w:t>n matters that concern them</w:t>
      </w:r>
      <w:r w:rsidR="00DE0B12">
        <w:rPr>
          <w:rFonts w:cs="Arial"/>
          <w:szCs w:val="24"/>
        </w:rPr>
        <w:t>.</w:t>
      </w:r>
      <w:r w:rsidR="004302D3" w:rsidRPr="000844FE">
        <w:rPr>
          <w:rStyle w:val="FootnoteReference"/>
          <w:rFonts w:cs="Arial"/>
          <w:sz w:val="24"/>
          <w:szCs w:val="24"/>
        </w:rPr>
        <w:footnoteReference w:id="74"/>
      </w:r>
      <w:r w:rsidRPr="000844FE">
        <w:rPr>
          <w:rFonts w:cs="Arial"/>
          <w:szCs w:val="24"/>
        </w:rPr>
        <w:t xml:space="preserve"> </w:t>
      </w:r>
    </w:p>
    <w:p w14:paraId="61C116F1" w14:textId="12959C1E" w:rsidR="00861875" w:rsidRPr="000844FE" w:rsidRDefault="00861875" w:rsidP="000844FE">
      <w:pPr>
        <w:rPr>
          <w:rFonts w:cs="Arial"/>
          <w:szCs w:val="24"/>
        </w:rPr>
      </w:pPr>
    </w:p>
    <w:p w14:paraId="5AC8F8B0" w14:textId="3942ED66" w:rsidR="00B568FD" w:rsidRPr="000844FE" w:rsidRDefault="00861875" w:rsidP="000844FE">
      <w:pPr>
        <w:rPr>
          <w:rFonts w:cs="Arial"/>
          <w:szCs w:val="24"/>
        </w:rPr>
      </w:pPr>
      <w:r w:rsidRPr="000844FE">
        <w:rPr>
          <w:rFonts w:cs="Arial"/>
          <w:szCs w:val="24"/>
        </w:rPr>
        <w:t xml:space="preserve">The </w:t>
      </w:r>
      <w:r w:rsidR="00B568FD" w:rsidRPr="000844FE">
        <w:rPr>
          <w:rFonts w:cs="Arial"/>
          <w:szCs w:val="24"/>
        </w:rPr>
        <w:t>special report</w:t>
      </w:r>
      <w:r w:rsidRPr="000844FE">
        <w:rPr>
          <w:rFonts w:cs="Arial"/>
          <w:szCs w:val="24"/>
        </w:rPr>
        <w:t xml:space="preserve"> by the Greek Ombudsman for Children </w:t>
      </w:r>
      <w:r w:rsidR="00B568FD" w:rsidRPr="000844FE">
        <w:rPr>
          <w:rFonts w:cs="Arial"/>
          <w:szCs w:val="24"/>
        </w:rPr>
        <w:t xml:space="preserve">investigating </w:t>
      </w:r>
      <w:r w:rsidR="00E34F3A" w:rsidRPr="000844FE">
        <w:rPr>
          <w:rFonts w:cs="Arial"/>
          <w:szCs w:val="24"/>
        </w:rPr>
        <w:t xml:space="preserve">the </w:t>
      </w:r>
      <w:r w:rsidR="00B568FD" w:rsidRPr="000844FE">
        <w:rPr>
          <w:rFonts w:cs="Arial"/>
          <w:szCs w:val="24"/>
        </w:rPr>
        <w:t xml:space="preserve">living conditions in the institution of </w:t>
      </w:r>
      <w:proofErr w:type="spellStart"/>
      <w:r w:rsidR="00B568FD" w:rsidRPr="000844FE">
        <w:rPr>
          <w:rFonts w:cs="Arial"/>
          <w:szCs w:val="24"/>
        </w:rPr>
        <w:t>Lechaina</w:t>
      </w:r>
      <w:proofErr w:type="spellEnd"/>
      <w:r w:rsidR="00B568FD" w:rsidRPr="000844FE">
        <w:rPr>
          <w:rFonts w:cs="Arial"/>
          <w:szCs w:val="24"/>
        </w:rPr>
        <w:t xml:space="preserve"> </w:t>
      </w:r>
      <w:r w:rsidRPr="000844FE">
        <w:rPr>
          <w:rFonts w:cs="Arial"/>
          <w:szCs w:val="24"/>
        </w:rPr>
        <w:t>(2011)</w:t>
      </w:r>
      <w:r w:rsidRPr="000844FE">
        <w:rPr>
          <w:rStyle w:val="FootnoteReference"/>
          <w:rFonts w:cs="Arial"/>
          <w:sz w:val="24"/>
          <w:szCs w:val="24"/>
        </w:rPr>
        <w:footnoteReference w:id="75"/>
      </w:r>
      <w:r w:rsidR="00B568FD" w:rsidRPr="000844FE">
        <w:rPr>
          <w:rFonts w:cs="Arial"/>
          <w:szCs w:val="24"/>
        </w:rPr>
        <w:t xml:space="preserve"> was</w:t>
      </w:r>
      <w:r w:rsidRPr="000844FE">
        <w:rPr>
          <w:rFonts w:cs="Arial"/>
          <w:szCs w:val="24"/>
        </w:rPr>
        <w:t xml:space="preserve"> among the first efforts to document the violations of children’s rights in institutional care, including institutions for </w:t>
      </w:r>
      <w:r w:rsidR="00B568FD" w:rsidRPr="000844FE">
        <w:rPr>
          <w:rFonts w:cs="Arial"/>
          <w:szCs w:val="24"/>
        </w:rPr>
        <w:t xml:space="preserve">disabled children. The UN CRC Shadow </w:t>
      </w:r>
      <w:r w:rsidR="00B568FD" w:rsidRPr="000844FE">
        <w:rPr>
          <w:rFonts w:cs="Arial"/>
          <w:szCs w:val="24"/>
          <w:lang w:val="en-US" w:eastAsia="el-GR"/>
        </w:rPr>
        <w:t>prepared by the Greek Ombudsman for Children’s Rights (2012),</w:t>
      </w:r>
      <w:r w:rsidR="00B568FD" w:rsidRPr="000844FE">
        <w:rPr>
          <w:rStyle w:val="FootnoteReference"/>
          <w:rFonts w:cs="Arial"/>
          <w:sz w:val="24"/>
          <w:szCs w:val="24"/>
          <w:lang w:val="en-US" w:eastAsia="el-GR"/>
        </w:rPr>
        <w:footnoteReference w:id="76"/>
      </w:r>
      <w:r w:rsidR="00B568FD" w:rsidRPr="000844FE">
        <w:rPr>
          <w:rFonts w:cs="Arial"/>
          <w:szCs w:val="24"/>
          <w:lang w:val="en-US" w:eastAsia="el-GR"/>
        </w:rPr>
        <w:t xml:space="preserve"> had pointed out that:</w:t>
      </w:r>
    </w:p>
    <w:p w14:paraId="6AF9663B" w14:textId="77777777" w:rsidR="00B568FD" w:rsidRPr="000844FE" w:rsidRDefault="00B568FD" w:rsidP="000844FE">
      <w:pPr>
        <w:rPr>
          <w:rFonts w:cs="Arial"/>
          <w:szCs w:val="24"/>
          <w:lang w:val="en-US" w:eastAsia="el-GR"/>
        </w:rPr>
      </w:pPr>
    </w:p>
    <w:p w14:paraId="64859958" w14:textId="1F2D61AA" w:rsidR="00B568FD" w:rsidRPr="000844FE" w:rsidRDefault="00B568FD" w:rsidP="000844FE">
      <w:pPr>
        <w:rPr>
          <w:rFonts w:cs="Arial"/>
          <w:szCs w:val="24"/>
          <w:lang w:val="en-US" w:eastAsia="el-GR"/>
        </w:rPr>
      </w:pPr>
      <w:r w:rsidRPr="000844FE">
        <w:rPr>
          <w:rFonts w:cs="Arial"/>
          <w:szCs w:val="24"/>
          <w:lang w:val="en-US" w:eastAsia="el-GR"/>
        </w:rPr>
        <w:t xml:space="preserve">“Many institutions for children with disabilities and chronic illnesses continue to essentially operate as asylums, isolated from the social fabric, with outdated care systems and inadequate coverage of the medical, therapeutic and educational needs of their guests, and </w:t>
      </w:r>
      <w:r w:rsidR="00F50E2F" w:rsidRPr="000844FE">
        <w:rPr>
          <w:rFonts w:cs="Arial"/>
          <w:szCs w:val="24"/>
          <w:lang w:val="en-US" w:eastAsia="el-GR"/>
        </w:rPr>
        <w:t>sometimes</w:t>
      </w:r>
      <w:r w:rsidRPr="000844FE">
        <w:rPr>
          <w:rFonts w:cs="Arial"/>
          <w:szCs w:val="24"/>
          <w:lang w:val="en-US" w:eastAsia="el-GR"/>
        </w:rPr>
        <w:t xml:space="preserve"> use unacceptable methods for the children's constraint and confinement for prevention purposes</w:t>
      </w:r>
      <w:r w:rsidR="00DB2DEE" w:rsidRPr="000844FE">
        <w:rPr>
          <w:rFonts w:cs="Arial"/>
          <w:szCs w:val="24"/>
          <w:lang w:val="en-US" w:eastAsia="el-GR"/>
        </w:rPr>
        <w:t>”</w:t>
      </w:r>
      <w:r w:rsidR="00D648A0" w:rsidRPr="000844FE">
        <w:rPr>
          <w:rFonts w:cs="Arial"/>
          <w:szCs w:val="24"/>
          <w:lang w:val="en-US" w:eastAsia="el-GR"/>
        </w:rPr>
        <w:t>.</w:t>
      </w:r>
    </w:p>
    <w:p w14:paraId="406CFEAD" w14:textId="77777777" w:rsidR="00D648A0" w:rsidRPr="000844FE" w:rsidRDefault="00D648A0" w:rsidP="000844FE">
      <w:pPr>
        <w:rPr>
          <w:rFonts w:cs="Arial"/>
          <w:szCs w:val="24"/>
          <w:lang w:val="en-US" w:eastAsia="el-GR"/>
        </w:rPr>
      </w:pPr>
    </w:p>
    <w:p w14:paraId="514CBEA5" w14:textId="3DD954DE" w:rsidR="00FE3794" w:rsidRPr="000844FE" w:rsidRDefault="00B568FD" w:rsidP="000844FE">
      <w:pPr>
        <w:rPr>
          <w:rFonts w:cs="Arial"/>
          <w:szCs w:val="24"/>
          <w:lang w:val="en-US" w:eastAsia="el-GR"/>
        </w:rPr>
      </w:pPr>
      <w:r w:rsidRPr="000844FE">
        <w:rPr>
          <w:rFonts w:cs="Arial"/>
          <w:szCs w:val="24"/>
          <w:lang w:val="en-US" w:eastAsia="el-GR"/>
        </w:rPr>
        <w:lastRenderedPageBreak/>
        <w:t>The report had also pointed out the state’s failure to comply with the UN Guidelines for alternative care, or the content of Recommendation 2005 (5) of the Council of Europe on the rights of children living in institutions, or the Recommendation CM/Rec (2010) 2 for de-i</w:t>
      </w:r>
      <w:r w:rsidR="00FE3794" w:rsidRPr="000844FE">
        <w:rPr>
          <w:rFonts w:cs="Arial"/>
          <w:szCs w:val="24"/>
          <w:lang w:val="en-US" w:eastAsia="el-GR"/>
        </w:rPr>
        <w:t>nstitutionalization and community living of children with disabilities</w:t>
      </w:r>
      <w:r w:rsidR="00DE0B12">
        <w:rPr>
          <w:rFonts w:cs="Arial"/>
          <w:szCs w:val="24"/>
          <w:lang w:val="en-US" w:eastAsia="el-GR"/>
        </w:rPr>
        <w:t>.</w:t>
      </w:r>
      <w:r w:rsidR="00FE3794" w:rsidRPr="000844FE">
        <w:rPr>
          <w:rStyle w:val="FootnoteReference"/>
          <w:rFonts w:cs="Arial"/>
          <w:sz w:val="24"/>
          <w:szCs w:val="24"/>
          <w:lang w:val="en-US" w:eastAsia="el-GR"/>
        </w:rPr>
        <w:footnoteReference w:id="77"/>
      </w:r>
    </w:p>
    <w:p w14:paraId="1092E3C6" w14:textId="7458B3C9" w:rsidR="00861875" w:rsidRPr="000844FE" w:rsidRDefault="00861875" w:rsidP="000844FE">
      <w:pPr>
        <w:rPr>
          <w:rFonts w:cs="Arial"/>
          <w:szCs w:val="24"/>
          <w:lang w:val="en-US"/>
        </w:rPr>
      </w:pPr>
    </w:p>
    <w:p w14:paraId="039BCB19" w14:textId="3C7B871A" w:rsidR="008E4ACD" w:rsidRPr="000844FE" w:rsidRDefault="008E4ACD" w:rsidP="00DE0B12">
      <w:pPr>
        <w:pStyle w:val="Heading2"/>
      </w:pPr>
      <w:bookmarkStart w:id="52" w:name="_Toc529874079"/>
      <w:bookmarkStart w:id="53" w:name="_Toc7608773"/>
      <w:r w:rsidRPr="000844FE">
        <w:t>Observations and recommendations by national or regional/devolved Parliaments and assemblies</w:t>
      </w:r>
      <w:bookmarkEnd w:id="52"/>
      <w:bookmarkEnd w:id="53"/>
    </w:p>
    <w:p w14:paraId="68AA6771" w14:textId="69FAD2DD" w:rsidR="008E4ACD" w:rsidRPr="000844FE" w:rsidRDefault="008E4ACD" w:rsidP="00DE0B12"/>
    <w:p w14:paraId="50D70046" w14:textId="56784558" w:rsidR="00D30463" w:rsidRPr="000844FE" w:rsidRDefault="00D30463" w:rsidP="00DE0B12">
      <w:r w:rsidRPr="000844FE">
        <w:t>No information identified.</w:t>
      </w:r>
      <w:r w:rsidR="00D32605" w:rsidRPr="000844FE">
        <w:t xml:space="preserve"> This can be conside</w:t>
      </w:r>
      <w:r w:rsidR="00BC5D27" w:rsidRPr="000844FE">
        <w:t xml:space="preserve">red in conjunction with the overall lack </w:t>
      </w:r>
      <w:r w:rsidR="00B01861" w:rsidRPr="000844FE">
        <w:t>of any specific strategies or plans concerning the transition to community-based care in governmental planning (please see section 2.2).</w:t>
      </w:r>
    </w:p>
    <w:p w14:paraId="36EAF377" w14:textId="77777777" w:rsidR="008E4ACD" w:rsidRPr="000844FE" w:rsidRDefault="008E4ACD" w:rsidP="000844FE">
      <w:pPr>
        <w:rPr>
          <w:rFonts w:cs="Arial"/>
          <w:b/>
          <w:szCs w:val="24"/>
        </w:rPr>
      </w:pPr>
    </w:p>
    <w:p w14:paraId="6E8AE97B" w14:textId="36D9F487" w:rsidR="008E4ACD" w:rsidRPr="000844FE" w:rsidRDefault="008E4ACD" w:rsidP="00DE0B12">
      <w:pPr>
        <w:pStyle w:val="Heading1"/>
      </w:pPr>
      <w:bookmarkStart w:id="54" w:name="_Toc529874080"/>
      <w:bookmarkStart w:id="55" w:name="_Toc7608774"/>
      <w:r w:rsidRPr="000844FE">
        <w:t>Views and perspectives of civil society</w:t>
      </w:r>
      <w:r w:rsidR="00E1022C" w:rsidRPr="000844FE">
        <w:t xml:space="preserve"> including DPOs</w:t>
      </w:r>
      <w:bookmarkEnd w:id="54"/>
      <w:bookmarkEnd w:id="55"/>
    </w:p>
    <w:p w14:paraId="622BF7F0" w14:textId="77777777" w:rsidR="008E4ACD" w:rsidRPr="000844FE" w:rsidRDefault="008E4ACD" w:rsidP="000844FE">
      <w:pPr>
        <w:rPr>
          <w:rFonts w:cs="Arial"/>
          <w:b/>
          <w:szCs w:val="24"/>
        </w:rPr>
      </w:pPr>
    </w:p>
    <w:p w14:paraId="4BD38D86" w14:textId="1A11A38B" w:rsidR="008E4ACD" w:rsidRPr="000844FE" w:rsidRDefault="008E4ACD" w:rsidP="00DE0B12">
      <w:pPr>
        <w:pStyle w:val="Heading2"/>
      </w:pPr>
      <w:bookmarkStart w:id="56" w:name="_Toc529874081"/>
      <w:bookmarkStart w:id="57" w:name="_Toc7608775"/>
      <w:r w:rsidRPr="000844FE">
        <w:t>UNCRPD civil society shadow and alternative reports</w:t>
      </w:r>
      <w:bookmarkEnd w:id="56"/>
      <w:bookmarkEnd w:id="57"/>
    </w:p>
    <w:p w14:paraId="0DE937A2" w14:textId="56A4FC0E" w:rsidR="008E4ACD" w:rsidRPr="000844FE" w:rsidRDefault="008E4ACD" w:rsidP="00DE0B12"/>
    <w:p w14:paraId="6397AB2A" w14:textId="12669602" w:rsidR="000B2794" w:rsidRPr="000844FE" w:rsidRDefault="000B2794" w:rsidP="00DE0B12">
      <w:r w:rsidRPr="000844FE">
        <w:t>No UN CRPD shadow report has been conducted to date on national level.</w:t>
      </w:r>
    </w:p>
    <w:p w14:paraId="748D9447" w14:textId="77777777" w:rsidR="00DE0B12" w:rsidRDefault="00DE0B12" w:rsidP="00DE0B12">
      <w:bookmarkStart w:id="58" w:name="_Toc529874082"/>
    </w:p>
    <w:p w14:paraId="5A3A5571" w14:textId="049573F1" w:rsidR="008E4ACD" w:rsidRPr="000844FE" w:rsidRDefault="008E4ACD" w:rsidP="00DE0B12">
      <w:pPr>
        <w:pStyle w:val="Heading2"/>
      </w:pPr>
      <w:bookmarkStart w:id="59" w:name="_Toc7608776"/>
      <w:r w:rsidRPr="000844FE">
        <w:t>‘Grey literature’ at the national level</w:t>
      </w:r>
      <w:bookmarkEnd w:id="58"/>
      <w:bookmarkEnd w:id="59"/>
    </w:p>
    <w:p w14:paraId="3546D59A" w14:textId="77F861EB" w:rsidR="008E4ACD" w:rsidRPr="000844FE" w:rsidRDefault="008E4ACD" w:rsidP="00DE0B12"/>
    <w:p w14:paraId="214C4232" w14:textId="12228DA3" w:rsidR="00C37FC8" w:rsidRPr="000844FE" w:rsidRDefault="001E06BC" w:rsidP="000844FE">
      <w:pPr>
        <w:pStyle w:val="ListParagraph"/>
        <w:ind w:left="0"/>
        <w:rPr>
          <w:rFonts w:cs="Arial"/>
          <w:szCs w:val="24"/>
        </w:rPr>
      </w:pPr>
      <w:r w:rsidRPr="000844FE">
        <w:rPr>
          <w:rFonts w:cs="Arial"/>
          <w:szCs w:val="24"/>
        </w:rPr>
        <w:t xml:space="preserve">The disability activist group Zero Tolerance Movement has been </w:t>
      </w:r>
      <w:r w:rsidR="003A4648" w:rsidRPr="000844FE">
        <w:rPr>
          <w:rFonts w:cs="Arial"/>
          <w:szCs w:val="24"/>
        </w:rPr>
        <w:t xml:space="preserve">calling the government and regional authorities to take </w:t>
      </w:r>
      <w:r w:rsidR="00064FF0" w:rsidRPr="000844FE">
        <w:rPr>
          <w:rFonts w:cs="Arial"/>
          <w:szCs w:val="24"/>
        </w:rPr>
        <w:t>actions for progressive de-institutionalisation</w:t>
      </w:r>
      <w:r w:rsidR="003A4648" w:rsidRPr="000844FE">
        <w:rPr>
          <w:rFonts w:cs="Arial"/>
          <w:szCs w:val="24"/>
        </w:rPr>
        <w:t>, ensuring the parallel development of</w:t>
      </w:r>
      <w:r w:rsidR="00064FF0" w:rsidRPr="000844FE">
        <w:rPr>
          <w:rFonts w:cs="Arial"/>
          <w:szCs w:val="24"/>
        </w:rPr>
        <w:t xml:space="preserve"> </w:t>
      </w:r>
      <w:r w:rsidR="00F50E2F" w:rsidRPr="000844FE">
        <w:rPr>
          <w:rFonts w:cs="Arial"/>
          <w:szCs w:val="24"/>
        </w:rPr>
        <w:t>community-based</w:t>
      </w:r>
      <w:r w:rsidR="00064FF0" w:rsidRPr="000844FE">
        <w:rPr>
          <w:rFonts w:cs="Arial"/>
          <w:szCs w:val="24"/>
        </w:rPr>
        <w:t xml:space="preserve"> services and permanent closure of institutionalised settings</w:t>
      </w:r>
      <w:r w:rsidR="003A4648" w:rsidRPr="000844FE">
        <w:rPr>
          <w:rFonts w:cs="Arial"/>
          <w:szCs w:val="24"/>
        </w:rPr>
        <w:t>, since 2015</w:t>
      </w:r>
      <w:r w:rsidR="00DE0B12">
        <w:rPr>
          <w:rFonts w:cs="Arial"/>
          <w:szCs w:val="24"/>
        </w:rPr>
        <w:t>.</w:t>
      </w:r>
      <w:r w:rsidR="00064FF0" w:rsidRPr="000844FE">
        <w:rPr>
          <w:rStyle w:val="FootnoteReference"/>
          <w:rFonts w:eastAsiaTheme="majorEastAsia" w:cs="Arial"/>
          <w:sz w:val="24"/>
          <w:szCs w:val="24"/>
        </w:rPr>
        <w:footnoteReference w:id="78"/>
      </w:r>
    </w:p>
    <w:p w14:paraId="051DB14E" w14:textId="77777777" w:rsidR="00C37FC8" w:rsidRPr="000844FE" w:rsidRDefault="00C37FC8" w:rsidP="000844FE">
      <w:pPr>
        <w:pStyle w:val="ListParagraph"/>
        <w:ind w:left="0"/>
        <w:rPr>
          <w:rFonts w:cs="Arial"/>
          <w:szCs w:val="24"/>
        </w:rPr>
      </w:pPr>
    </w:p>
    <w:p w14:paraId="513AC14C" w14:textId="220E5969" w:rsidR="00E15EBD" w:rsidRPr="000844FE" w:rsidRDefault="00C37FC8" w:rsidP="000844FE">
      <w:pPr>
        <w:pStyle w:val="ListParagraph"/>
        <w:ind w:left="0"/>
        <w:rPr>
          <w:rFonts w:cs="Arial"/>
          <w:szCs w:val="24"/>
          <w:lang w:val="en-US"/>
        </w:rPr>
      </w:pPr>
      <w:r w:rsidRPr="000844FE">
        <w:rPr>
          <w:rFonts w:cs="Arial"/>
          <w:szCs w:val="24"/>
        </w:rPr>
        <w:t xml:space="preserve">In a live </w:t>
      </w:r>
      <w:r w:rsidRPr="000844FE">
        <w:rPr>
          <w:rFonts w:cs="Arial"/>
          <w:szCs w:val="24"/>
          <w:lang w:val="en-US"/>
        </w:rPr>
        <w:t>video report from the</w:t>
      </w:r>
      <w:r w:rsidRPr="000844FE">
        <w:rPr>
          <w:rFonts w:cs="Arial"/>
          <w:szCs w:val="24"/>
        </w:rPr>
        <w:t xml:space="preserve"> Institution of </w:t>
      </w:r>
      <w:proofErr w:type="spellStart"/>
      <w:r w:rsidRPr="000844FE">
        <w:rPr>
          <w:rFonts w:cs="Arial"/>
          <w:szCs w:val="24"/>
        </w:rPr>
        <w:t>Lechaina</w:t>
      </w:r>
      <w:proofErr w:type="spellEnd"/>
      <w:r w:rsidRPr="000844FE">
        <w:rPr>
          <w:rFonts w:cs="Arial"/>
          <w:szCs w:val="24"/>
        </w:rPr>
        <w:t xml:space="preserve"> on 3 December 2018</w:t>
      </w:r>
      <w:r w:rsidR="00DE0B12">
        <w:rPr>
          <w:rFonts w:cs="Arial"/>
          <w:szCs w:val="24"/>
        </w:rPr>
        <w:t>,</w:t>
      </w:r>
      <w:r w:rsidRPr="00C105A4">
        <w:rPr>
          <w:rStyle w:val="FootnoteReference"/>
          <w:rFonts w:eastAsiaTheme="majorEastAsia" w:cs="Arial"/>
          <w:sz w:val="24"/>
          <w:szCs w:val="24"/>
          <w:lang w:val="en-US"/>
        </w:rPr>
        <w:footnoteReference w:id="79"/>
      </w:r>
      <w:r w:rsidRPr="000844FE">
        <w:rPr>
          <w:rFonts w:cs="Arial"/>
          <w:szCs w:val="24"/>
        </w:rPr>
        <w:t xml:space="preserve"> members of the </w:t>
      </w:r>
      <w:r w:rsidRPr="000844FE">
        <w:rPr>
          <w:rFonts w:cs="Arial"/>
          <w:szCs w:val="24"/>
          <w:lang w:val="en-US"/>
        </w:rPr>
        <w:t>Zero Tolerance Movement reported that</w:t>
      </w:r>
      <w:r w:rsidR="00822623" w:rsidRPr="000844FE">
        <w:rPr>
          <w:rFonts w:cs="Arial"/>
          <w:szCs w:val="24"/>
          <w:lang w:val="en-US"/>
        </w:rPr>
        <w:t xml:space="preserve"> 46 disabled people (children and adults) still reside</w:t>
      </w:r>
      <w:r w:rsidRPr="000844FE">
        <w:rPr>
          <w:rFonts w:cs="Arial"/>
          <w:szCs w:val="24"/>
          <w:lang w:val="en-US"/>
        </w:rPr>
        <w:t xml:space="preserve"> there, despite government decision to start resettling residents from that specific infamous institution</w:t>
      </w:r>
      <w:r w:rsidR="00E15EBD" w:rsidRPr="000844FE">
        <w:rPr>
          <w:rFonts w:cs="Arial"/>
          <w:szCs w:val="24"/>
          <w:lang w:val="en-US"/>
        </w:rPr>
        <w:t xml:space="preserve"> approximately a year before</w:t>
      </w:r>
      <w:r w:rsidRPr="000844FE">
        <w:rPr>
          <w:rFonts w:cs="Arial"/>
          <w:szCs w:val="24"/>
          <w:lang w:val="en-US"/>
        </w:rPr>
        <w:t>.</w:t>
      </w:r>
    </w:p>
    <w:p w14:paraId="66523782" w14:textId="77777777" w:rsidR="00E15EBD" w:rsidRPr="000844FE" w:rsidRDefault="00E15EBD" w:rsidP="000844FE">
      <w:pPr>
        <w:pStyle w:val="ListParagraph"/>
        <w:ind w:left="0"/>
        <w:rPr>
          <w:rFonts w:cs="Arial"/>
          <w:szCs w:val="24"/>
          <w:lang w:val="en-US"/>
        </w:rPr>
      </w:pPr>
    </w:p>
    <w:p w14:paraId="237DC437" w14:textId="1843C229" w:rsidR="0037445E" w:rsidRPr="000844FE" w:rsidRDefault="00AF5CAF" w:rsidP="000844FE">
      <w:pPr>
        <w:pStyle w:val="ListParagraph"/>
        <w:ind w:left="0"/>
        <w:rPr>
          <w:rFonts w:cs="Arial"/>
          <w:szCs w:val="24"/>
          <w:lang w:val="en-US"/>
        </w:rPr>
      </w:pPr>
      <w:r w:rsidRPr="000844FE">
        <w:rPr>
          <w:rFonts w:cs="Arial"/>
          <w:szCs w:val="24"/>
          <w:lang w:val="en-US"/>
        </w:rPr>
        <w:t xml:space="preserve">The activists report partial </w:t>
      </w:r>
      <w:r w:rsidR="00E15EBD" w:rsidRPr="000844FE">
        <w:rPr>
          <w:rFonts w:cs="Arial"/>
          <w:szCs w:val="24"/>
          <w:lang w:val="en-US"/>
        </w:rPr>
        <w:t>improvement of conditions, such as the limited use of</w:t>
      </w:r>
      <w:r w:rsidR="00822623" w:rsidRPr="000844FE">
        <w:rPr>
          <w:rFonts w:cs="Arial"/>
          <w:szCs w:val="24"/>
          <w:lang w:val="en-US"/>
        </w:rPr>
        <w:t xml:space="preserve"> restraint to beds</w:t>
      </w:r>
      <w:r w:rsidR="007F70CD" w:rsidRPr="000844FE">
        <w:rPr>
          <w:rFonts w:cs="Arial"/>
          <w:szCs w:val="24"/>
          <w:lang w:val="en-US"/>
        </w:rPr>
        <w:t>,</w:t>
      </w:r>
      <w:r w:rsidR="00822623" w:rsidRPr="000844FE">
        <w:rPr>
          <w:rFonts w:cs="Arial"/>
          <w:szCs w:val="24"/>
          <w:lang w:val="en-US"/>
        </w:rPr>
        <w:t xml:space="preserve"> as opposed to this being com</w:t>
      </w:r>
      <w:r w:rsidR="00E15EBD" w:rsidRPr="000844FE">
        <w:rPr>
          <w:rFonts w:cs="Arial"/>
          <w:szCs w:val="24"/>
          <w:lang w:val="en-US"/>
        </w:rPr>
        <w:t>mon practice</w:t>
      </w:r>
      <w:r w:rsidR="00D648A0" w:rsidRPr="000844FE">
        <w:rPr>
          <w:rFonts w:cs="Arial"/>
          <w:szCs w:val="24"/>
          <w:lang w:val="en-US"/>
        </w:rPr>
        <w:t xml:space="preserve"> in the past</w:t>
      </w:r>
      <w:r w:rsidR="00E15EBD" w:rsidRPr="000844FE">
        <w:rPr>
          <w:rFonts w:cs="Arial"/>
          <w:szCs w:val="24"/>
          <w:lang w:val="en-US"/>
        </w:rPr>
        <w:t xml:space="preserve">. Importantly, </w:t>
      </w:r>
      <w:r w:rsidR="00E15EBD" w:rsidRPr="000844FE">
        <w:rPr>
          <w:rFonts w:cs="Arial"/>
          <w:b/>
          <w:szCs w:val="24"/>
          <w:lang w:val="en-US"/>
        </w:rPr>
        <w:t>three blind residents</w:t>
      </w:r>
      <w:r w:rsidR="00822623" w:rsidRPr="000844FE">
        <w:rPr>
          <w:rFonts w:cs="Arial"/>
          <w:b/>
          <w:szCs w:val="24"/>
          <w:lang w:val="en-US"/>
        </w:rPr>
        <w:t xml:space="preserve"> </w:t>
      </w:r>
      <w:r w:rsidR="00E15EBD" w:rsidRPr="000844FE">
        <w:rPr>
          <w:rFonts w:cs="Arial"/>
          <w:b/>
          <w:szCs w:val="24"/>
          <w:lang w:val="en-US"/>
        </w:rPr>
        <w:t>remain</w:t>
      </w:r>
      <w:r w:rsidR="00822623" w:rsidRPr="000844FE">
        <w:rPr>
          <w:rFonts w:cs="Arial"/>
          <w:b/>
          <w:szCs w:val="24"/>
          <w:lang w:val="en-US"/>
        </w:rPr>
        <w:t xml:space="preserve"> restrained because </w:t>
      </w:r>
      <w:r w:rsidR="007F70CD" w:rsidRPr="000844FE">
        <w:rPr>
          <w:rFonts w:cs="Arial"/>
          <w:b/>
          <w:szCs w:val="24"/>
          <w:lang w:val="en-US"/>
        </w:rPr>
        <w:t>the institution cannot offer</w:t>
      </w:r>
      <w:r w:rsidR="00822623" w:rsidRPr="000844FE">
        <w:rPr>
          <w:rFonts w:cs="Arial"/>
          <w:b/>
          <w:szCs w:val="24"/>
          <w:lang w:val="en-US"/>
        </w:rPr>
        <w:t xml:space="preserve"> adapted service</w:t>
      </w:r>
      <w:r w:rsidR="00D648A0" w:rsidRPr="000844FE">
        <w:rPr>
          <w:rFonts w:cs="Arial"/>
          <w:b/>
          <w:szCs w:val="24"/>
          <w:lang w:val="en-US"/>
        </w:rPr>
        <w:t xml:space="preserve">s; </w:t>
      </w:r>
      <w:r w:rsidR="00D648A0" w:rsidRPr="000844FE">
        <w:rPr>
          <w:rFonts w:cs="Arial"/>
          <w:szCs w:val="24"/>
          <w:lang w:val="en-US"/>
        </w:rPr>
        <w:t>as it is reported by the activists,</w:t>
      </w:r>
      <w:r w:rsidR="007F70CD" w:rsidRPr="000844FE">
        <w:rPr>
          <w:rFonts w:cs="Arial"/>
          <w:szCs w:val="24"/>
          <w:lang w:val="en-US"/>
        </w:rPr>
        <w:t xml:space="preserve"> fro</w:t>
      </w:r>
      <w:r w:rsidR="00822623" w:rsidRPr="000844FE">
        <w:rPr>
          <w:rFonts w:cs="Arial"/>
          <w:szCs w:val="24"/>
          <w:lang w:val="en-US"/>
        </w:rPr>
        <w:t>m the perspecti</w:t>
      </w:r>
      <w:r w:rsidR="00D648A0" w:rsidRPr="000844FE">
        <w:rPr>
          <w:rFonts w:cs="Arial"/>
          <w:szCs w:val="24"/>
          <w:lang w:val="en-US"/>
        </w:rPr>
        <w:t xml:space="preserve">ve of the institution she is </w:t>
      </w:r>
      <w:r w:rsidR="007F70CD" w:rsidRPr="000844FE">
        <w:rPr>
          <w:rFonts w:cs="Arial"/>
          <w:szCs w:val="24"/>
          <w:lang w:val="en-US"/>
        </w:rPr>
        <w:t>“protected” against injuries. Additionally, it is reported that two</w:t>
      </w:r>
      <w:r w:rsidR="00822623" w:rsidRPr="000844FE">
        <w:rPr>
          <w:rFonts w:cs="Arial"/>
          <w:szCs w:val="24"/>
          <w:lang w:val="en-US"/>
        </w:rPr>
        <w:t xml:space="preserve"> minors (under 18) attend school</w:t>
      </w:r>
      <w:r w:rsidR="00F50E2F">
        <w:rPr>
          <w:rFonts w:cs="Arial"/>
          <w:szCs w:val="24"/>
          <w:lang w:val="en-US"/>
        </w:rPr>
        <w:t xml:space="preserve"> </w:t>
      </w:r>
      <w:r w:rsidR="00822623" w:rsidRPr="000844FE">
        <w:rPr>
          <w:rFonts w:cs="Arial"/>
          <w:szCs w:val="24"/>
          <w:lang w:val="en-US"/>
        </w:rPr>
        <w:t xml:space="preserve">but </w:t>
      </w:r>
      <w:r w:rsidR="000B399A" w:rsidRPr="000844FE">
        <w:rPr>
          <w:rFonts w:cs="Arial"/>
          <w:szCs w:val="24"/>
          <w:lang w:val="en-US"/>
        </w:rPr>
        <w:t xml:space="preserve">are obliged to </w:t>
      </w:r>
      <w:r w:rsidR="00822623" w:rsidRPr="000844FE">
        <w:rPr>
          <w:rFonts w:cs="Arial"/>
          <w:szCs w:val="24"/>
          <w:lang w:val="en-US"/>
        </w:rPr>
        <w:t>return earlier to have a meal</w:t>
      </w:r>
      <w:r w:rsidR="000B399A" w:rsidRPr="000844FE">
        <w:rPr>
          <w:rFonts w:cs="Arial"/>
          <w:szCs w:val="24"/>
          <w:lang w:val="en-US"/>
        </w:rPr>
        <w:t xml:space="preserve"> at the </w:t>
      </w:r>
      <w:r w:rsidR="00ED651E" w:rsidRPr="000844FE">
        <w:rPr>
          <w:rFonts w:cs="Arial"/>
          <w:szCs w:val="24"/>
          <w:lang w:val="en-US"/>
        </w:rPr>
        <w:t>designated schedule</w:t>
      </w:r>
      <w:r w:rsidR="000B399A" w:rsidRPr="000844FE">
        <w:rPr>
          <w:rFonts w:cs="Arial"/>
          <w:szCs w:val="24"/>
          <w:lang w:val="en-US"/>
        </w:rPr>
        <w:t>, il</w:t>
      </w:r>
      <w:r w:rsidR="00D648A0" w:rsidRPr="000844FE">
        <w:rPr>
          <w:rFonts w:cs="Arial"/>
          <w:szCs w:val="24"/>
          <w:lang w:val="en-US"/>
        </w:rPr>
        <w:t xml:space="preserve">lustrating the rigid routine of </w:t>
      </w:r>
      <w:r w:rsidR="000B399A" w:rsidRPr="000844FE">
        <w:rPr>
          <w:rFonts w:cs="Arial"/>
          <w:szCs w:val="24"/>
          <w:lang w:val="en-US"/>
        </w:rPr>
        <w:t>instit</w:t>
      </w:r>
      <w:r w:rsidR="00D648A0" w:rsidRPr="000844FE">
        <w:rPr>
          <w:rFonts w:cs="Arial"/>
          <w:szCs w:val="24"/>
          <w:lang w:val="en-US"/>
        </w:rPr>
        <w:t>utional life</w:t>
      </w:r>
      <w:r w:rsidR="0037445E" w:rsidRPr="000844FE">
        <w:rPr>
          <w:rFonts w:cs="Arial"/>
          <w:szCs w:val="24"/>
          <w:lang w:val="en-US"/>
        </w:rPr>
        <w:t xml:space="preserve">. Finally, residents have been </w:t>
      </w:r>
      <w:r w:rsidR="00822623" w:rsidRPr="000844FE">
        <w:rPr>
          <w:rFonts w:cs="Arial"/>
          <w:szCs w:val="24"/>
          <w:lang w:val="en-US"/>
        </w:rPr>
        <w:t>overall restricted to staying indoor</w:t>
      </w:r>
      <w:r w:rsidR="0037445E" w:rsidRPr="000844FE">
        <w:rPr>
          <w:rFonts w:cs="Arial"/>
          <w:szCs w:val="24"/>
          <w:lang w:val="en-US"/>
        </w:rPr>
        <w:t xml:space="preserve">s for more than 20 years, as a </w:t>
      </w:r>
      <w:r w:rsidR="00822623" w:rsidRPr="000844FE">
        <w:rPr>
          <w:rFonts w:cs="Arial"/>
          <w:szCs w:val="24"/>
          <w:lang w:val="en-US"/>
        </w:rPr>
        <w:t>high voltage electrical station is l</w:t>
      </w:r>
      <w:r w:rsidR="0037445E" w:rsidRPr="000844FE">
        <w:rPr>
          <w:rFonts w:cs="Arial"/>
          <w:szCs w:val="24"/>
          <w:lang w:val="en-US"/>
        </w:rPr>
        <w:t>ocated next to the Institution.</w:t>
      </w:r>
    </w:p>
    <w:p w14:paraId="0C3801A3" w14:textId="77777777" w:rsidR="0037445E" w:rsidRPr="000844FE" w:rsidRDefault="0037445E" w:rsidP="000844FE">
      <w:pPr>
        <w:pStyle w:val="ListParagraph"/>
        <w:ind w:left="0"/>
        <w:rPr>
          <w:rFonts w:cs="Arial"/>
          <w:szCs w:val="24"/>
          <w:lang w:val="en-US"/>
        </w:rPr>
      </w:pPr>
    </w:p>
    <w:p w14:paraId="19BFC331" w14:textId="0F1B8DCB" w:rsidR="00822623" w:rsidRPr="000844FE" w:rsidRDefault="0037445E" w:rsidP="000844FE">
      <w:pPr>
        <w:pStyle w:val="ListParagraph"/>
        <w:ind w:left="0"/>
        <w:rPr>
          <w:rFonts w:cs="Arial"/>
          <w:szCs w:val="24"/>
        </w:rPr>
      </w:pPr>
      <w:r w:rsidRPr="000844FE">
        <w:rPr>
          <w:rFonts w:cs="Arial"/>
          <w:szCs w:val="24"/>
          <w:lang w:val="en-US"/>
        </w:rPr>
        <w:t xml:space="preserve">The direct messages from the activist group Zero Tolerance are that </w:t>
      </w:r>
      <w:r w:rsidR="00822623" w:rsidRPr="000844FE">
        <w:rPr>
          <w:rFonts w:cs="Arial"/>
          <w:szCs w:val="24"/>
          <w:lang w:val="en-US"/>
        </w:rPr>
        <w:t>“Institutions</w:t>
      </w:r>
      <w:r w:rsidRPr="000844FE">
        <w:rPr>
          <w:rFonts w:cs="Arial"/>
          <w:szCs w:val="24"/>
          <w:lang w:val="en-US"/>
        </w:rPr>
        <w:t xml:space="preserve"> first need to shut down as a mindset</w:t>
      </w:r>
      <w:r w:rsidR="00822623" w:rsidRPr="000844FE">
        <w:rPr>
          <w:rFonts w:cs="Arial"/>
          <w:szCs w:val="24"/>
          <w:lang w:val="en-US"/>
        </w:rPr>
        <w:t xml:space="preserve"> and then as infrastructure. </w:t>
      </w:r>
      <w:r w:rsidRPr="000844FE">
        <w:rPr>
          <w:rFonts w:cs="Arial"/>
          <w:szCs w:val="24"/>
          <w:lang w:val="en-US"/>
        </w:rPr>
        <w:t>T</w:t>
      </w:r>
      <w:r w:rsidR="00822623" w:rsidRPr="000844FE">
        <w:rPr>
          <w:rFonts w:cs="Arial"/>
          <w:szCs w:val="24"/>
          <w:lang w:val="en-US"/>
        </w:rPr>
        <w:t>he</w:t>
      </w:r>
      <w:r w:rsidRPr="000844FE">
        <w:rPr>
          <w:rFonts w:cs="Arial"/>
          <w:szCs w:val="24"/>
          <w:lang w:val="en-US"/>
        </w:rPr>
        <w:t xml:space="preserve"> opportunity for</w:t>
      </w:r>
      <w:r w:rsidR="00822623" w:rsidRPr="000844FE">
        <w:rPr>
          <w:rFonts w:cs="Arial"/>
          <w:szCs w:val="24"/>
          <w:lang w:val="en-US"/>
        </w:rPr>
        <w:t xml:space="preserve"> </w:t>
      </w:r>
      <w:r w:rsidRPr="000844FE">
        <w:rPr>
          <w:rFonts w:cs="Arial"/>
          <w:szCs w:val="24"/>
          <w:lang w:val="en-US"/>
        </w:rPr>
        <w:t>de-</w:t>
      </w:r>
      <w:r w:rsidR="00C75185" w:rsidRPr="000844FE">
        <w:rPr>
          <w:rFonts w:cs="Arial"/>
          <w:szCs w:val="24"/>
          <w:lang w:val="en-US"/>
        </w:rPr>
        <w:lastRenderedPageBreak/>
        <w:t>institutionalization</w:t>
      </w:r>
      <w:r w:rsidRPr="000844FE">
        <w:rPr>
          <w:rFonts w:cs="Arial"/>
          <w:szCs w:val="24"/>
          <w:lang w:val="en-US"/>
        </w:rPr>
        <w:t xml:space="preserve"> </w:t>
      </w:r>
      <w:r w:rsidR="00822623" w:rsidRPr="000844FE">
        <w:rPr>
          <w:rFonts w:cs="Arial"/>
          <w:szCs w:val="24"/>
          <w:lang w:val="en-US"/>
        </w:rPr>
        <w:t>(</w:t>
      </w:r>
      <w:r w:rsidR="00DE0B12">
        <w:rPr>
          <w:rFonts w:cs="Arial"/>
          <w:szCs w:val="24"/>
          <w:lang w:val="en-US"/>
        </w:rPr>
        <w:t xml:space="preserve">EUR </w:t>
      </w:r>
      <w:r w:rsidR="00822623" w:rsidRPr="000844FE">
        <w:rPr>
          <w:rFonts w:cs="Arial"/>
          <w:szCs w:val="24"/>
          <w:lang w:val="en-US"/>
        </w:rPr>
        <w:t>15 million</w:t>
      </w:r>
      <w:r w:rsidRPr="000844FE">
        <w:rPr>
          <w:rFonts w:cs="Arial"/>
          <w:szCs w:val="24"/>
          <w:lang w:val="en-US"/>
        </w:rPr>
        <w:t xml:space="preserve">) must not be </w:t>
      </w:r>
      <w:r w:rsidR="00822623" w:rsidRPr="000844FE">
        <w:rPr>
          <w:rFonts w:cs="Arial"/>
          <w:szCs w:val="24"/>
          <w:lang w:val="en-US"/>
        </w:rPr>
        <w:t>lost.</w:t>
      </w:r>
      <w:r w:rsidRPr="000844FE">
        <w:rPr>
          <w:rFonts w:cs="Arial"/>
          <w:szCs w:val="24"/>
          <w:lang w:val="en-US"/>
        </w:rPr>
        <w:t xml:space="preserve"> We oppose any effort </w:t>
      </w:r>
      <w:r w:rsidR="00287DFC" w:rsidRPr="000844FE">
        <w:rPr>
          <w:rFonts w:cs="Arial"/>
          <w:szCs w:val="24"/>
        </w:rPr>
        <w:t xml:space="preserve">aiming to depict institutions as </w:t>
      </w:r>
      <w:r w:rsidR="00D648A0" w:rsidRPr="000844FE">
        <w:rPr>
          <w:rFonts w:cs="Arial"/>
          <w:szCs w:val="24"/>
        </w:rPr>
        <w:t xml:space="preserve">a </w:t>
      </w:r>
      <w:r w:rsidR="00287DFC" w:rsidRPr="000844FE">
        <w:rPr>
          <w:rFonts w:cs="Arial"/>
          <w:szCs w:val="24"/>
        </w:rPr>
        <w:t>good enough</w:t>
      </w:r>
      <w:r w:rsidR="00D648A0" w:rsidRPr="000844FE">
        <w:rPr>
          <w:rFonts w:cs="Arial"/>
          <w:szCs w:val="24"/>
        </w:rPr>
        <w:t xml:space="preserve"> option</w:t>
      </w:r>
      <w:r w:rsidR="00287DFC" w:rsidRPr="000844FE">
        <w:rPr>
          <w:rFonts w:cs="Arial"/>
          <w:szCs w:val="24"/>
        </w:rPr>
        <w:t>, and to any discourse which prioritises the needs of the employees in those structures”.</w:t>
      </w:r>
    </w:p>
    <w:p w14:paraId="57DF7FB5" w14:textId="77777777" w:rsidR="008E4ACD" w:rsidRPr="000844FE" w:rsidRDefault="008E4ACD" w:rsidP="00DE0B12"/>
    <w:p w14:paraId="343323C9" w14:textId="5551C199" w:rsidR="008E4ACD" w:rsidRPr="000844FE" w:rsidRDefault="008E4ACD" w:rsidP="00DE0B12">
      <w:pPr>
        <w:pStyle w:val="Heading2"/>
      </w:pPr>
      <w:bookmarkStart w:id="60" w:name="_Toc529874083"/>
      <w:bookmarkStart w:id="61" w:name="_Toc7608777"/>
      <w:r w:rsidRPr="000844FE">
        <w:t>Pan-European and international civil society organisations</w:t>
      </w:r>
      <w:bookmarkEnd w:id="60"/>
      <w:bookmarkEnd w:id="61"/>
    </w:p>
    <w:p w14:paraId="28F0B87A" w14:textId="21DB5FD6" w:rsidR="008E4ACD" w:rsidRPr="000844FE" w:rsidRDefault="008E4ACD" w:rsidP="00DE0B12"/>
    <w:p w14:paraId="2E1A4647" w14:textId="588DEDA7" w:rsidR="00F263CD" w:rsidRPr="000844FE" w:rsidRDefault="00D648A0" w:rsidP="00DE0B12">
      <w:r w:rsidRPr="000844FE">
        <w:t>An important in country development has been the involvement of t</w:t>
      </w:r>
      <w:r w:rsidR="00D13D30" w:rsidRPr="000844FE">
        <w:t>he international non-profit organisation Lumos</w:t>
      </w:r>
      <w:r w:rsidR="004D2FA4" w:rsidRPr="000844FE">
        <w:t xml:space="preserve"> </w:t>
      </w:r>
      <w:r w:rsidRPr="000844FE">
        <w:t xml:space="preserve">through provision of technical expertise on de-institutionalisation. Lumos </w:t>
      </w:r>
      <w:r w:rsidR="00D13D30" w:rsidRPr="000844FE">
        <w:t xml:space="preserve">has </w:t>
      </w:r>
      <w:r w:rsidR="004D2FA4" w:rsidRPr="000844FE">
        <w:t>worked since 2015</w:t>
      </w:r>
      <w:r w:rsidR="00D13D30" w:rsidRPr="000844FE">
        <w:t xml:space="preserve"> in partnership with the Greek</w:t>
      </w:r>
      <w:r w:rsidR="00B37190" w:rsidRPr="000844FE">
        <w:t xml:space="preserve"> Institute of Child Health</w:t>
      </w:r>
      <w:r w:rsidR="00D13D30" w:rsidRPr="000844FE">
        <w:t xml:space="preserve">, local agencies and the government, to support the transition from institutions towards </w:t>
      </w:r>
      <w:r w:rsidR="00F50E2F" w:rsidRPr="000844FE">
        <w:t>community-based</w:t>
      </w:r>
      <w:r w:rsidR="00D13D30" w:rsidRPr="000844FE">
        <w:t xml:space="preserve"> services</w:t>
      </w:r>
      <w:r w:rsidR="00DE0B12">
        <w:t>.</w:t>
      </w:r>
      <w:r w:rsidR="004613D9" w:rsidRPr="000844FE">
        <w:rPr>
          <w:rStyle w:val="FootnoteReference"/>
          <w:rFonts w:cs="Arial"/>
          <w:sz w:val="24"/>
          <w:szCs w:val="24"/>
        </w:rPr>
        <w:footnoteReference w:id="80"/>
      </w:r>
      <w:r w:rsidR="00D13D30" w:rsidRPr="000844FE">
        <w:t xml:space="preserve"> To date, a strategic review of child residential care in Greece</w:t>
      </w:r>
      <w:r w:rsidR="00B37190" w:rsidRPr="000844FE">
        <w:t xml:space="preserve"> h</w:t>
      </w:r>
      <w:r w:rsidR="00D13D30" w:rsidRPr="000844FE">
        <w:t>as</w:t>
      </w:r>
      <w:r w:rsidR="00B37190" w:rsidRPr="000844FE">
        <w:t xml:space="preserve"> been</w:t>
      </w:r>
      <w:r w:rsidR="00D13D30" w:rsidRPr="000844FE">
        <w:t xml:space="preserve"> conducted to provide the research base for planning the necessary reform</w:t>
      </w:r>
      <w:r w:rsidR="00DE0B12">
        <w:t>.</w:t>
      </w:r>
      <w:r w:rsidR="00D13D30" w:rsidRPr="000844FE">
        <w:rPr>
          <w:rStyle w:val="FootnoteReference"/>
          <w:rFonts w:cs="Arial"/>
          <w:sz w:val="24"/>
          <w:szCs w:val="24"/>
        </w:rPr>
        <w:footnoteReference w:id="81"/>
      </w:r>
    </w:p>
    <w:p w14:paraId="2C72CF00" w14:textId="46FA9750" w:rsidR="00B37190" w:rsidRPr="000844FE" w:rsidRDefault="00B37190" w:rsidP="000844FE">
      <w:pPr>
        <w:rPr>
          <w:rFonts w:cs="Arial"/>
          <w:b/>
          <w:szCs w:val="24"/>
        </w:rPr>
      </w:pPr>
    </w:p>
    <w:p w14:paraId="4EAD9776" w14:textId="416D1C70" w:rsidR="00B37190" w:rsidRDefault="00C35F74" w:rsidP="000844FE">
      <w:pPr>
        <w:rPr>
          <w:rFonts w:cs="Arial"/>
          <w:szCs w:val="24"/>
        </w:rPr>
      </w:pPr>
      <w:r w:rsidRPr="000844FE">
        <w:rPr>
          <w:rFonts w:cs="Arial"/>
          <w:szCs w:val="24"/>
        </w:rPr>
        <w:t xml:space="preserve">The research included secondary data analysis in the region of Attika and Western Greece. </w:t>
      </w:r>
      <w:r w:rsidR="00EB17B6" w:rsidRPr="000844FE">
        <w:rPr>
          <w:rFonts w:cs="Arial"/>
          <w:szCs w:val="24"/>
        </w:rPr>
        <w:t>T</w:t>
      </w:r>
      <w:r w:rsidRPr="000844FE">
        <w:rPr>
          <w:rFonts w:cs="Arial"/>
          <w:szCs w:val="24"/>
        </w:rPr>
        <w:t xml:space="preserve">he main findings in relation to </w:t>
      </w:r>
      <w:r w:rsidR="00EB17B6" w:rsidRPr="000844FE">
        <w:rPr>
          <w:rFonts w:cs="Arial"/>
          <w:szCs w:val="24"/>
        </w:rPr>
        <w:t xml:space="preserve">admission </w:t>
      </w:r>
      <w:r w:rsidRPr="000844FE">
        <w:rPr>
          <w:rFonts w:cs="Arial"/>
          <w:szCs w:val="24"/>
        </w:rPr>
        <w:t>of children with disabilities</w:t>
      </w:r>
      <w:r w:rsidR="00EB17B6" w:rsidRPr="000844FE">
        <w:rPr>
          <w:rFonts w:cs="Arial"/>
          <w:szCs w:val="24"/>
        </w:rPr>
        <w:t xml:space="preserve"> to institutions</w:t>
      </w:r>
      <w:r w:rsidRPr="000844FE">
        <w:rPr>
          <w:rFonts w:cs="Arial"/>
          <w:szCs w:val="24"/>
        </w:rPr>
        <w:t xml:space="preserve"> are outlined</w:t>
      </w:r>
      <w:r w:rsidR="00DE0B12">
        <w:rPr>
          <w:rFonts w:cs="Arial"/>
          <w:szCs w:val="24"/>
        </w:rPr>
        <w:t>:</w:t>
      </w:r>
      <w:r w:rsidR="00EB17B6" w:rsidRPr="000844FE">
        <w:rPr>
          <w:rStyle w:val="FootnoteReference"/>
          <w:rFonts w:cs="Arial"/>
          <w:sz w:val="24"/>
          <w:szCs w:val="24"/>
        </w:rPr>
        <w:footnoteReference w:id="82"/>
      </w:r>
    </w:p>
    <w:p w14:paraId="11E8C696" w14:textId="77777777" w:rsidR="00DE0B12" w:rsidRPr="00DE0B12" w:rsidRDefault="00DE0B12" w:rsidP="000844FE">
      <w:pPr>
        <w:rPr>
          <w:rFonts w:cs="Arial"/>
          <w:szCs w:val="24"/>
        </w:rPr>
      </w:pPr>
    </w:p>
    <w:p w14:paraId="76B135DA" w14:textId="56A98775" w:rsidR="00EB17B6" w:rsidRPr="00DE0B12" w:rsidRDefault="007031B9" w:rsidP="00DE0B12">
      <w:pPr>
        <w:pStyle w:val="opsomming"/>
      </w:pPr>
      <w:r w:rsidRPr="00DE0B12">
        <w:t>32</w:t>
      </w:r>
      <w:r w:rsidR="00DE0B12" w:rsidRPr="00DE0B12">
        <w:t xml:space="preserve"> </w:t>
      </w:r>
      <w:r w:rsidRPr="00DE0B12">
        <w:t>% of admissions reviewed in Attika (N=866) conce</w:t>
      </w:r>
      <w:r w:rsidR="00EB17B6" w:rsidRPr="00DE0B12">
        <w:t xml:space="preserve">rned children with disabilities, </w:t>
      </w:r>
      <w:r w:rsidRPr="00DE0B12">
        <w:t>with the re</w:t>
      </w:r>
      <w:r w:rsidR="00EB17B6" w:rsidRPr="00DE0B12">
        <w:t>s</w:t>
      </w:r>
      <w:r w:rsidRPr="00DE0B12">
        <w:t>pective figure for Western Greece being 86.1</w:t>
      </w:r>
      <w:r w:rsidR="00DE0B12" w:rsidRPr="00DE0B12">
        <w:t xml:space="preserve"> </w:t>
      </w:r>
      <w:r w:rsidRPr="00DE0B12">
        <w:t>% (N=151)</w:t>
      </w:r>
      <w:r w:rsidR="00D61564" w:rsidRPr="00DE0B12">
        <w:t xml:space="preserve">. </w:t>
      </w:r>
    </w:p>
    <w:p w14:paraId="5BA85ED7" w14:textId="7CE8530E" w:rsidR="00D605AD" w:rsidRPr="00DE0B12" w:rsidRDefault="00D61564" w:rsidP="00DE0B12">
      <w:pPr>
        <w:pStyle w:val="opsomming"/>
      </w:pPr>
      <w:r w:rsidRPr="00DE0B12">
        <w:t xml:space="preserve">Among </w:t>
      </w:r>
      <w:r w:rsidR="00EB17B6" w:rsidRPr="00DE0B12">
        <w:t xml:space="preserve">the cited </w:t>
      </w:r>
      <w:r w:rsidRPr="00DE0B12">
        <w:t>reasons for admission to institutions, 33</w:t>
      </w:r>
      <w:r w:rsidR="00DE0B12" w:rsidRPr="00DE0B12">
        <w:t xml:space="preserve"> </w:t>
      </w:r>
      <w:r w:rsidRPr="00DE0B12">
        <w:t xml:space="preserve">% </w:t>
      </w:r>
      <w:r w:rsidR="00EB17B6" w:rsidRPr="00DE0B12">
        <w:t xml:space="preserve">of the cases </w:t>
      </w:r>
      <w:r w:rsidRPr="00DE0B12">
        <w:t>conce</w:t>
      </w:r>
      <w:r w:rsidR="00EB17B6" w:rsidRPr="00DE0B12">
        <w:t>rned parents with disabilities in Attika, and 19</w:t>
      </w:r>
      <w:r w:rsidR="00DE0B12" w:rsidRPr="00DE0B12">
        <w:t xml:space="preserve"> </w:t>
      </w:r>
      <w:r w:rsidR="00EB17B6" w:rsidRPr="00DE0B12">
        <w:t>% in Western Greece. A</w:t>
      </w:r>
      <w:r w:rsidR="00FD1C3D" w:rsidRPr="00DE0B12">
        <w:t>lso</w:t>
      </w:r>
      <w:r w:rsidR="00EB17B6" w:rsidRPr="00DE0B12">
        <w:t>,</w:t>
      </w:r>
      <w:r w:rsidRPr="00DE0B12">
        <w:t xml:space="preserve"> 18</w:t>
      </w:r>
      <w:r w:rsidR="00DE0B12" w:rsidRPr="00DE0B12">
        <w:t xml:space="preserve"> </w:t>
      </w:r>
      <w:r w:rsidRPr="00DE0B12">
        <w:t xml:space="preserve">% </w:t>
      </w:r>
      <w:r w:rsidR="00EB17B6" w:rsidRPr="00DE0B12">
        <w:t xml:space="preserve">concerned the disability of the child (Attika), and </w:t>
      </w:r>
      <w:r w:rsidRPr="00DE0B12">
        <w:t>56</w:t>
      </w:r>
      <w:r w:rsidR="00DE0B12" w:rsidRPr="00DE0B12">
        <w:t xml:space="preserve"> </w:t>
      </w:r>
      <w:r w:rsidRPr="00DE0B12">
        <w:t xml:space="preserve">% in Western Greece, being the top reason for admission to an institution in that area. </w:t>
      </w:r>
    </w:p>
    <w:p w14:paraId="77EE9726" w14:textId="1049B44D" w:rsidR="007031B9" w:rsidRPr="00DE0B12" w:rsidRDefault="007031B9" w:rsidP="000844FE">
      <w:pPr>
        <w:rPr>
          <w:rFonts w:cs="Arial"/>
          <w:szCs w:val="24"/>
        </w:rPr>
      </w:pPr>
    </w:p>
    <w:p w14:paraId="106C5238" w14:textId="28B14AD2" w:rsidR="00CC3864" w:rsidRPr="00DE0B12" w:rsidRDefault="00CC3864" w:rsidP="000844FE">
      <w:pPr>
        <w:rPr>
          <w:rFonts w:cs="Arial"/>
          <w:szCs w:val="24"/>
        </w:rPr>
      </w:pPr>
      <w:r w:rsidRPr="00DE0B12">
        <w:rPr>
          <w:rFonts w:cs="Arial"/>
          <w:szCs w:val="24"/>
        </w:rPr>
        <w:t xml:space="preserve">The review advocates for </w:t>
      </w:r>
      <w:r w:rsidR="00A5414C" w:rsidRPr="00DE0B12">
        <w:rPr>
          <w:rFonts w:cs="Arial"/>
          <w:szCs w:val="24"/>
        </w:rPr>
        <w:t xml:space="preserve">more effective use of available resources to provide support to </w:t>
      </w:r>
      <w:r w:rsidR="00C75185" w:rsidRPr="00DE0B12">
        <w:rPr>
          <w:rFonts w:cs="Arial"/>
          <w:szCs w:val="24"/>
        </w:rPr>
        <w:t>children living with their families</w:t>
      </w:r>
      <w:r w:rsidRPr="00DE0B12">
        <w:rPr>
          <w:rFonts w:cs="Arial"/>
          <w:szCs w:val="24"/>
        </w:rPr>
        <w:t xml:space="preserve">, as </w:t>
      </w:r>
      <w:r w:rsidR="00A5414C" w:rsidRPr="00DE0B12">
        <w:rPr>
          <w:rFonts w:cs="Arial"/>
          <w:szCs w:val="24"/>
        </w:rPr>
        <w:t>no support was provided before placement</w:t>
      </w:r>
      <w:r w:rsidRPr="00DE0B12">
        <w:rPr>
          <w:rFonts w:cs="Arial"/>
          <w:szCs w:val="24"/>
        </w:rPr>
        <w:t xml:space="preserve"> in 37</w:t>
      </w:r>
      <w:r w:rsidR="00DE0B12">
        <w:rPr>
          <w:rFonts w:cs="Arial"/>
          <w:szCs w:val="24"/>
        </w:rPr>
        <w:t xml:space="preserve"> </w:t>
      </w:r>
      <w:r w:rsidRPr="00DE0B12">
        <w:rPr>
          <w:rFonts w:cs="Arial"/>
          <w:szCs w:val="24"/>
        </w:rPr>
        <w:t>% of cases in Attika, while in</w:t>
      </w:r>
      <w:r w:rsidR="00A5414C" w:rsidRPr="00DE0B12">
        <w:rPr>
          <w:rFonts w:cs="Arial"/>
          <w:szCs w:val="24"/>
        </w:rPr>
        <w:t xml:space="preserve"> </w:t>
      </w:r>
      <w:r w:rsidRPr="00DE0B12">
        <w:rPr>
          <w:rFonts w:cs="Arial"/>
          <w:szCs w:val="24"/>
        </w:rPr>
        <w:t>another</w:t>
      </w:r>
      <w:r w:rsidR="00A5414C" w:rsidRPr="00DE0B12">
        <w:rPr>
          <w:rFonts w:cs="Arial"/>
          <w:szCs w:val="24"/>
        </w:rPr>
        <w:t xml:space="preserve"> 29</w:t>
      </w:r>
      <w:r w:rsidR="00DE0B12">
        <w:rPr>
          <w:rFonts w:cs="Arial"/>
          <w:szCs w:val="24"/>
        </w:rPr>
        <w:t xml:space="preserve"> </w:t>
      </w:r>
      <w:r w:rsidR="00A5414C" w:rsidRPr="00DE0B12">
        <w:rPr>
          <w:rFonts w:cs="Arial"/>
          <w:szCs w:val="24"/>
        </w:rPr>
        <w:t>%</w:t>
      </w:r>
      <w:r w:rsidRPr="00DE0B12">
        <w:rPr>
          <w:rFonts w:cs="Arial"/>
          <w:szCs w:val="24"/>
        </w:rPr>
        <w:t xml:space="preserve"> of cases </w:t>
      </w:r>
      <w:r w:rsidR="002C52C8" w:rsidRPr="00DE0B12">
        <w:rPr>
          <w:rFonts w:cs="Arial"/>
          <w:szCs w:val="24"/>
        </w:rPr>
        <w:t xml:space="preserve">it is not known whether </w:t>
      </w:r>
      <w:r w:rsidRPr="00DE0B12">
        <w:rPr>
          <w:rFonts w:cs="Arial"/>
          <w:szCs w:val="24"/>
        </w:rPr>
        <w:t>support</w:t>
      </w:r>
      <w:r w:rsidR="00A5414C" w:rsidRPr="00DE0B12">
        <w:rPr>
          <w:rFonts w:cs="Arial"/>
          <w:szCs w:val="24"/>
        </w:rPr>
        <w:t xml:space="preserve"> was</w:t>
      </w:r>
      <w:r w:rsidRPr="00DE0B12">
        <w:rPr>
          <w:rFonts w:cs="Arial"/>
          <w:szCs w:val="24"/>
        </w:rPr>
        <w:t xml:space="preserve"> </w:t>
      </w:r>
      <w:r w:rsidR="002C52C8" w:rsidRPr="00DE0B12">
        <w:rPr>
          <w:rFonts w:cs="Arial"/>
          <w:szCs w:val="24"/>
        </w:rPr>
        <w:t>provided</w:t>
      </w:r>
      <w:r w:rsidRPr="00DE0B12">
        <w:rPr>
          <w:rFonts w:cs="Arial"/>
          <w:szCs w:val="24"/>
        </w:rPr>
        <w:t>; the respective figures in Western Greece were 9</w:t>
      </w:r>
      <w:r w:rsidR="00DE0B12">
        <w:rPr>
          <w:rFonts w:cs="Arial"/>
          <w:szCs w:val="24"/>
        </w:rPr>
        <w:t xml:space="preserve"> </w:t>
      </w:r>
      <w:r w:rsidRPr="00DE0B12">
        <w:rPr>
          <w:rFonts w:cs="Arial"/>
          <w:szCs w:val="24"/>
        </w:rPr>
        <w:t>% and 81</w:t>
      </w:r>
      <w:r w:rsidR="00DE0B12">
        <w:rPr>
          <w:rFonts w:cs="Arial"/>
          <w:szCs w:val="24"/>
        </w:rPr>
        <w:t xml:space="preserve"> </w:t>
      </w:r>
      <w:r w:rsidRPr="00DE0B12">
        <w:rPr>
          <w:rFonts w:cs="Arial"/>
          <w:szCs w:val="24"/>
        </w:rPr>
        <w:t xml:space="preserve">%. </w:t>
      </w:r>
    </w:p>
    <w:p w14:paraId="7382D7CE" w14:textId="4998B2B0" w:rsidR="00C75185" w:rsidRPr="00DE0B12" w:rsidRDefault="00C75185" w:rsidP="000844FE">
      <w:pPr>
        <w:rPr>
          <w:rFonts w:cs="Arial"/>
          <w:szCs w:val="24"/>
        </w:rPr>
      </w:pPr>
    </w:p>
    <w:p w14:paraId="49312EFE" w14:textId="415CB3D1" w:rsidR="00A23D34" w:rsidRDefault="00A23D34" w:rsidP="000844FE">
      <w:pPr>
        <w:rPr>
          <w:rFonts w:cs="Arial"/>
          <w:szCs w:val="24"/>
        </w:rPr>
      </w:pPr>
      <w:r w:rsidRPr="00DE0B12">
        <w:rPr>
          <w:rFonts w:cs="Arial"/>
          <w:szCs w:val="24"/>
        </w:rPr>
        <w:t xml:space="preserve">Additional </w:t>
      </w:r>
      <w:r w:rsidR="00772143" w:rsidRPr="00DE0B12">
        <w:rPr>
          <w:rFonts w:cs="Arial"/>
          <w:szCs w:val="24"/>
        </w:rPr>
        <w:t xml:space="preserve">systemic </w:t>
      </w:r>
      <w:r w:rsidRPr="00DE0B12">
        <w:rPr>
          <w:rFonts w:cs="Arial"/>
          <w:szCs w:val="24"/>
        </w:rPr>
        <w:t xml:space="preserve">gaps and/or weaknesses </w:t>
      </w:r>
      <w:r w:rsidR="00772143" w:rsidRPr="00DE0B12">
        <w:rPr>
          <w:rFonts w:cs="Arial"/>
          <w:szCs w:val="24"/>
        </w:rPr>
        <w:t>in the child protection system we</w:t>
      </w:r>
      <w:r w:rsidR="00B37190" w:rsidRPr="00DE0B12">
        <w:rPr>
          <w:rFonts w:cs="Arial"/>
          <w:szCs w:val="24"/>
        </w:rPr>
        <w:t xml:space="preserve">re </w:t>
      </w:r>
      <w:r w:rsidRPr="00DE0B12">
        <w:rPr>
          <w:rFonts w:cs="Arial"/>
          <w:szCs w:val="24"/>
        </w:rPr>
        <w:t>identified</w:t>
      </w:r>
      <w:r w:rsidR="00DE0B12">
        <w:rPr>
          <w:rFonts w:cs="Arial"/>
          <w:szCs w:val="24"/>
        </w:rPr>
        <w:t>:</w:t>
      </w:r>
      <w:r w:rsidR="00B37190" w:rsidRPr="00DE0B12">
        <w:rPr>
          <w:rStyle w:val="FootnoteReference"/>
          <w:rFonts w:cs="Arial"/>
          <w:sz w:val="24"/>
          <w:szCs w:val="24"/>
        </w:rPr>
        <w:footnoteReference w:id="83"/>
      </w:r>
    </w:p>
    <w:p w14:paraId="1C6B22E2" w14:textId="77777777" w:rsidR="00DE0B12" w:rsidRPr="00DE0B12" w:rsidRDefault="00DE0B12" w:rsidP="000844FE">
      <w:pPr>
        <w:rPr>
          <w:rFonts w:cs="Arial"/>
          <w:szCs w:val="24"/>
        </w:rPr>
      </w:pPr>
    </w:p>
    <w:p w14:paraId="7CD97410" w14:textId="77777777" w:rsidR="00A23D34" w:rsidRPr="000844FE" w:rsidRDefault="008730A2" w:rsidP="00DE0B12">
      <w:pPr>
        <w:pStyle w:val="opsomming"/>
      </w:pPr>
      <w:r w:rsidRPr="000844FE">
        <w:t>There is a lack of national standards, inspection and accreditation for ins</w:t>
      </w:r>
      <w:r w:rsidR="00A23D34" w:rsidRPr="000844FE">
        <w:t xml:space="preserve">titutions and other services. </w:t>
      </w:r>
    </w:p>
    <w:p w14:paraId="74EC3A26" w14:textId="77777777" w:rsidR="00A23D34" w:rsidRPr="000844FE" w:rsidRDefault="008730A2" w:rsidP="00DE0B12">
      <w:pPr>
        <w:pStyle w:val="opsomming"/>
      </w:pPr>
      <w:r w:rsidRPr="000844FE">
        <w:t xml:space="preserve">There appears to be very little official data collected on children in institutions by relevant authorities, including basic data. </w:t>
      </w:r>
    </w:p>
    <w:p w14:paraId="43085678" w14:textId="2E777FD5" w:rsidR="008730A2" w:rsidRPr="000844FE" w:rsidRDefault="008730A2" w:rsidP="00DE0B12">
      <w:pPr>
        <w:pStyle w:val="opsomming"/>
      </w:pPr>
      <w:r w:rsidRPr="000844FE">
        <w:t>There is a need for data concerning vulnerable children referred to the care system and/or social services that would allo</w:t>
      </w:r>
      <w:r w:rsidR="00B37190" w:rsidRPr="000844FE">
        <w:t xml:space="preserve">w the government to monitor the </w:t>
      </w:r>
      <w:r w:rsidRPr="000844FE">
        <w:t>current services and plan for change where necessary.</w:t>
      </w:r>
    </w:p>
    <w:p w14:paraId="14FDA36F" w14:textId="7E50B309" w:rsidR="007031B9" w:rsidRPr="000844FE" w:rsidRDefault="007031B9" w:rsidP="000844FE">
      <w:pPr>
        <w:rPr>
          <w:rFonts w:cs="Arial"/>
          <w:i/>
          <w:szCs w:val="24"/>
        </w:rPr>
      </w:pPr>
    </w:p>
    <w:p w14:paraId="2EED831E" w14:textId="06CF6636" w:rsidR="008D4184" w:rsidRPr="000844FE" w:rsidRDefault="008D4184" w:rsidP="000844FE">
      <w:pPr>
        <w:rPr>
          <w:rFonts w:cs="Arial"/>
          <w:szCs w:val="24"/>
        </w:rPr>
      </w:pPr>
      <w:r w:rsidRPr="000844FE">
        <w:rPr>
          <w:rFonts w:cs="Arial"/>
          <w:szCs w:val="24"/>
        </w:rPr>
        <w:lastRenderedPageBreak/>
        <w:t>The European Network of Ombudspersons for Children (2011)</w:t>
      </w:r>
      <w:r w:rsidR="00861875" w:rsidRPr="000844FE">
        <w:rPr>
          <w:rStyle w:val="FootnoteReference"/>
          <w:rFonts w:cs="Arial"/>
          <w:sz w:val="24"/>
          <w:szCs w:val="24"/>
        </w:rPr>
        <w:footnoteReference w:id="84"/>
      </w:r>
      <w:r w:rsidRPr="000844FE">
        <w:rPr>
          <w:rFonts w:cs="Arial"/>
          <w:szCs w:val="24"/>
        </w:rPr>
        <w:t xml:space="preserve"> </w:t>
      </w:r>
      <w:r w:rsidR="00312F87" w:rsidRPr="000844FE">
        <w:rPr>
          <w:rFonts w:cs="Arial"/>
          <w:szCs w:val="24"/>
        </w:rPr>
        <w:t xml:space="preserve">had similarly noted </w:t>
      </w:r>
      <w:r w:rsidR="00125301" w:rsidRPr="000844FE">
        <w:rPr>
          <w:rFonts w:cs="Arial"/>
          <w:szCs w:val="24"/>
        </w:rPr>
        <w:t>the limited state capacity</w:t>
      </w:r>
      <w:r w:rsidR="00312F87" w:rsidRPr="000844FE">
        <w:rPr>
          <w:rFonts w:cs="Arial"/>
          <w:szCs w:val="24"/>
        </w:rPr>
        <w:t xml:space="preserve"> in those respects,</w:t>
      </w:r>
      <w:r w:rsidR="00125301" w:rsidRPr="000844FE">
        <w:rPr>
          <w:rFonts w:cs="Arial"/>
          <w:szCs w:val="24"/>
        </w:rPr>
        <w:t xml:space="preserve"> even prior to the economic crisis and stagnation due to limited resources since:</w:t>
      </w:r>
      <w:r w:rsidRPr="000844FE">
        <w:rPr>
          <w:rFonts w:cs="Arial"/>
          <w:szCs w:val="24"/>
        </w:rPr>
        <w:t xml:space="preserve"> </w:t>
      </w:r>
    </w:p>
    <w:p w14:paraId="442FD6BC" w14:textId="77777777" w:rsidR="008D4184" w:rsidRPr="000844FE" w:rsidRDefault="008D4184" w:rsidP="000844FE">
      <w:pPr>
        <w:rPr>
          <w:rFonts w:cs="Arial"/>
          <w:szCs w:val="24"/>
        </w:rPr>
      </w:pPr>
    </w:p>
    <w:p w14:paraId="5993EF1A" w14:textId="659A3F6F" w:rsidR="008D4184" w:rsidRPr="000844FE" w:rsidRDefault="008D4184" w:rsidP="000844FE">
      <w:pPr>
        <w:rPr>
          <w:rFonts w:cs="Arial"/>
          <w:szCs w:val="24"/>
        </w:rPr>
      </w:pPr>
      <w:r w:rsidRPr="000844FE">
        <w:rPr>
          <w:rFonts w:cs="Arial"/>
          <w:szCs w:val="24"/>
        </w:rPr>
        <w:t>In Greece, due to lack of available resources, as a consequence of the current economic crisis, but also because, for many years, there has not been enough progress towards legislation improvement, introduction of quality standards, establishment of monitoring mechanisms, and other issues so that the rights of children in residential care are ensured, child protection is nowadays in a very critical situation (European Network of Ombudspersons for Children [ENO], 2011).</w:t>
      </w:r>
    </w:p>
    <w:p w14:paraId="6FB22EC2" w14:textId="77777777" w:rsidR="008D4184" w:rsidRPr="000844FE" w:rsidRDefault="008D4184" w:rsidP="000844FE">
      <w:pPr>
        <w:rPr>
          <w:rFonts w:cs="Arial"/>
          <w:szCs w:val="24"/>
        </w:rPr>
      </w:pPr>
    </w:p>
    <w:p w14:paraId="68FA3BDA" w14:textId="2DF8863E" w:rsidR="008E4ACD" w:rsidRPr="000844FE" w:rsidRDefault="008E4ACD" w:rsidP="00DE0B12">
      <w:pPr>
        <w:pStyle w:val="Heading1"/>
      </w:pPr>
      <w:bookmarkStart w:id="62" w:name="_Toc529874084"/>
      <w:bookmarkStart w:id="63" w:name="_Toc7608778"/>
      <w:r w:rsidRPr="000844FE">
        <w:t>Academic research</w:t>
      </w:r>
      <w:bookmarkEnd w:id="62"/>
      <w:bookmarkEnd w:id="63"/>
    </w:p>
    <w:p w14:paraId="3242B24B" w14:textId="77777777" w:rsidR="00C17F54" w:rsidRPr="000844FE" w:rsidRDefault="00C17F54" w:rsidP="000844FE">
      <w:pPr>
        <w:rPr>
          <w:rFonts w:cs="Arial"/>
          <w:szCs w:val="24"/>
          <w:lang w:bidi="en-US"/>
        </w:rPr>
      </w:pPr>
    </w:p>
    <w:p w14:paraId="63F133D2" w14:textId="17D8BF3F" w:rsidR="00204769" w:rsidRPr="000844FE" w:rsidRDefault="00AB46BE" w:rsidP="000844FE">
      <w:pPr>
        <w:rPr>
          <w:rFonts w:cs="Arial"/>
          <w:szCs w:val="24"/>
        </w:rPr>
      </w:pPr>
      <w:r w:rsidRPr="000844FE">
        <w:rPr>
          <w:rFonts w:cs="Arial"/>
          <w:szCs w:val="24"/>
        </w:rPr>
        <w:t xml:space="preserve">It is finally worth citing a recent study by the </w:t>
      </w:r>
      <w:r w:rsidR="008D4184" w:rsidRPr="000844FE">
        <w:rPr>
          <w:rFonts w:cs="Arial"/>
          <w:szCs w:val="24"/>
        </w:rPr>
        <w:t>Institute of Child Health (2017)</w:t>
      </w:r>
      <w:r w:rsidRPr="000844FE">
        <w:rPr>
          <w:rStyle w:val="FootnoteReference"/>
          <w:rFonts w:cs="Arial"/>
          <w:sz w:val="24"/>
          <w:szCs w:val="24"/>
        </w:rPr>
        <w:footnoteReference w:id="85"/>
      </w:r>
      <w:r w:rsidR="00856DD2" w:rsidRPr="000844FE">
        <w:rPr>
          <w:rFonts w:cs="Arial"/>
          <w:szCs w:val="24"/>
        </w:rPr>
        <w:t xml:space="preserve"> researching institutional </w:t>
      </w:r>
      <w:r w:rsidR="00F752E2" w:rsidRPr="000844FE">
        <w:rPr>
          <w:rFonts w:cs="Arial"/>
          <w:szCs w:val="24"/>
        </w:rPr>
        <w:t xml:space="preserve">child </w:t>
      </w:r>
      <w:r w:rsidR="00856DD2" w:rsidRPr="000844FE">
        <w:rPr>
          <w:rFonts w:cs="Arial"/>
          <w:szCs w:val="24"/>
        </w:rPr>
        <w:t>abuse,</w:t>
      </w:r>
      <w:r w:rsidR="00F752E2" w:rsidRPr="000844FE">
        <w:rPr>
          <w:rFonts w:cs="Arial"/>
          <w:szCs w:val="24"/>
        </w:rPr>
        <w:t xml:space="preserve"> for which official or academic knowledge has been very poor in the country</w:t>
      </w:r>
      <w:r w:rsidR="00DE0B12">
        <w:rPr>
          <w:rFonts w:cs="Arial"/>
          <w:szCs w:val="24"/>
        </w:rPr>
        <w:t>.</w:t>
      </w:r>
      <w:r w:rsidR="00856DD2" w:rsidRPr="000844FE">
        <w:rPr>
          <w:rStyle w:val="FootnoteReference"/>
          <w:rFonts w:cs="Arial"/>
          <w:sz w:val="24"/>
          <w:szCs w:val="24"/>
        </w:rPr>
        <w:footnoteReference w:id="86"/>
      </w:r>
      <w:r w:rsidR="00C17F54" w:rsidRPr="000844FE">
        <w:rPr>
          <w:rFonts w:cs="Arial"/>
          <w:szCs w:val="24"/>
        </w:rPr>
        <w:t xml:space="preserve"> The main findings from the desk review that touch upon institutional care</w:t>
      </w:r>
      <w:r w:rsidR="00A66ED3" w:rsidRPr="000844FE">
        <w:rPr>
          <w:rFonts w:cs="Arial"/>
          <w:szCs w:val="24"/>
        </w:rPr>
        <w:t xml:space="preserve"> as a whole, </w:t>
      </w:r>
      <w:r w:rsidR="00D648A0" w:rsidRPr="000844FE">
        <w:rPr>
          <w:rFonts w:cs="Arial"/>
          <w:szCs w:val="24"/>
        </w:rPr>
        <w:t>confirm th</w:t>
      </w:r>
      <w:r w:rsidR="00E36069" w:rsidRPr="000844FE">
        <w:rPr>
          <w:rFonts w:cs="Arial"/>
          <w:szCs w:val="24"/>
        </w:rPr>
        <w:t>e shortcomings identified by multiple sources stated in the above sections, namely</w:t>
      </w:r>
      <w:r w:rsidR="00C17F54" w:rsidRPr="000844FE">
        <w:rPr>
          <w:rFonts w:cs="Arial"/>
          <w:szCs w:val="24"/>
        </w:rPr>
        <w:t xml:space="preserve"> inadequate staffing and lack of clarity of roles and responsibilities; l</w:t>
      </w:r>
      <w:r w:rsidR="00204769" w:rsidRPr="000844FE">
        <w:rPr>
          <w:rFonts w:cs="Arial"/>
          <w:szCs w:val="24"/>
        </w:rPr>
        <w:t>ack of professionals’ training and supervision</w:t>
      </w:r>
      <w:r w:rsidR="00C17F54" w:rsidRPr="000844FE">
        <w:rPr>
          <w:rFonts w:cs="Arial"/>
          <w:szCs w:val="24"/>
        </w:rPr>
        <w:t>; no monitoring systems for child abuse and neglect (C</w:t>
      </w:r>
      <w:r w:rsidR="00204769" w:rsidRPr="000844FE">
        <w:rPr>
          <w:rFonts w:cs="Arial"/>
          <w:szCs w:val="24"/>
        </w:rPr>
        <w:t>AN</w:t>
      </w:r>
      <w:r w:rsidR="00C17F54" w:rsidRPr="000844FE">
        <w:rPr>
          <w:rFonts w:cs="Arial"/>
          <w:szCs w:val="24"/>
        </w:rPr>
        <w:t>)</w:t>
      </w:r>
      <w:r w:rsidR="00204769" w:rsidRPr="000844FE">
        <w:rPr>
          <w:rFonts w:cs="Arial"/>
          <w:szCs w:val="24"/>
        </w:rPr>
        <w:t xml:space="preserve"> cases;</w:t>
      </w:r>
      <w:r w:rsidR="00A66ED3" w:rsidRPr="000844FE">
        <w:rPr>
          <w:rFonts w:cs="Arial"/>
          <w:szCs w:val="24"/>
        </w:rPr>
        <w:t xml:space="preserve"> no surveillance centre or registry </w:t>
      </w:r>
      <w:r w:rsidR="00204769" w:rsidRPr="000844FE">
        <w:rPr>
          <w:rFonts w:cs="Arial"/>
          <w:szCs w:val="24"/>
        </w:rPr>
        <w:t>for CAN cases</w:t>
      </w:r>
      <w:r w:rsidR="00C17F54" w:rsidRPr="000844FE">
        <w:rPr>
          <w:rFonts w:cs="Arial"/>
          <w:szCs w:val="24"/>
        </w:rPr>
        <w:t xml:space="preserve">; </w:t>
      </w:r>
      <w:r w:rsidR="00204769" w:rsidRPr="000844FE">
        <w:rPr>
          <w:rFonts w:cs="Arial"/>
          <w:szCs w:val="24"/>
        </w:rPr>
        <w:t>no regulations regarding monitoring and evaluation of institutions and professionals who are involved in child protection</w:t>
      </w:r>
      <w:r w:rsidR="00DE0B12">
        <w:rPr>
          <w:rFonts w:cs="Arial"/>
          <w:szCs w:val="24"/>
        </w:rPr>
        <w:t>.</w:t>
      </w:r>
      <w:r w:rsidR="00C17F54" w:rsidRPr="000844FE">
        <w:rPr>
          <w:rStyle w:val="FootnoteReference"/>
          <w:rFonts w:cs="Arial"/>
          <w:sz w:val="24"/>
          <w:szCs w:val="24"/>
        </w:rPr>
        <w:footnoteReference w:id="87"/>
      </w:r>
    </w:p>
    <w:p w14:paraId="3334E6BB" w14:textId="712D8C4F" w:rsidR="00DE0B12" w:rsidRDefault="00DE0B12">
      <w:pPr>
        <w:spacing w:after="200" w:line="276" w:lineRule="auto"/>
        <w:jc w:val="left"/>
        <w:rPr>
          <w:rFonts w:cs="Arial"/>
          <w:szCs w:val="24"/>
        </w:rPr>
      </w:pPr>
      <w:r>
        <w:rPr>
          <w:rFonts w:cs="Arial"/>
          <w:szCs w:val="24"/>
        </w:rPr>
        <w:br w:type="page"/>
      </w:r>
    </w:p>
    <w:p w14:paraId="0F8452BA" w14:textId="7CAAE92C" w:rsidR="008E4ACD" w:rsidRPr="000844FE" w:rsidRDefault="008E4ACD" w:rsidP="000844FE">
      <w:pPr>
        <w:pStyle w:val="Heading1"/>
        <w:numPr>
          <w:ilvl w:val="0"/>
          <w:numId w:val="0"/>
        </w:numPr>
        <w:rPr>
          <w:rFonts w:cs="Arial"/>
          <w:szCs w:val="24"/>
        </w:rPr>
      </w:pPr>
      <w:bookmarkStart w:id="64" w:name="_Toc529874085"/>
      <w:bookmarkStart w:id="65" w:name="_Toc7608779"/>
      <w:r w:rsidRPr="000844FE">
        <w:rPr>
          <w:rFonts w:cs="Arial"/>
          <w:szCs w:val="24"/>
        </w:rPr>
        <w:lastRenderedPageBreak/>
        <w:t>PART C</w:t>
      </w:r>
      <w:r w:rsidR="00A75929" w:rsidRPr="000844FE">
        <w:rPr>
          <w:rFonts w:cs="Arial"/>
          <w:szCs w:val="24"/>
        </w:rPr>
        <w:t xml:space="preserve"> – </w:t>
      </w:r>
      <w:r w:rsidR="00DA2456" w:rsidRPr="000844FE">
        <w:rPr>
          <w:rFonts w:cs="Arial"/>
          <w:szCs w:val="24"/>
        </w:rPr>
        <w:t>K</w:t>
      </w:r>
      <w:r w:rsidRPr="000844FE">
        <w:rPr>
          <w:rFonts w:cs="Arial"/>
          <w:szCs w:val="24"/>
        </w:rPr>
        <w:t>ey points</w:t>
      </w:r>
      <w:bookmarkEnd w:id="64"/>
      <w:bookmarkEnd w:id="65"/>
    </w:p>
    <w:p w14:paraId="351AF745" w14:textId="77777777" w:rsidR="008E4ACD" w:rsidRPr="000844FE" w:rsidRDefault="008E4ACD" w:rsidP="000844FE">
      <w:pPr>
        <w:rPr>
          <w:rFonts w:cs="Arial"/>
          <w:b/>
          <w:szCs w:val="24"/>
        </w:rPr>
      </w:pPr>
    </w:p>
    <w:p w14:paraId="3D926F68" w14:textId="033CC2E1" w:rsidR="008E4ACD" w:rsidRPr="000844FE" w:rsidRDefault="008E4ACD" w:rsidP="005B1FE7">
      <w:pPr>
        <w:pStyle w:val="Heading1"/>
      </w:pPr>
      <w:bookmarkStart w:id="66" w:name="_Toc529874086"/>
      <w:bookmarkStart w:id="67" w:name="_Toc7608780"/>
      <w:r w:rsidRPr="000844FE">
        <w:t>Positive developments, including promising practice examples</w:t>
      </w:r>
      <w:bookmarkEnd w:id="66"/>
      <w:bookmarkEnd w:id="67"/>
    </w:p>
    <w:p w14:paraId="35C8D0EF" w14:textId="732A3C16" w:rsidR="008E4ACD" w:rsidRPr="000844FE" w:rsidRDefault="008E4ACD" w:rsidP="000844FE">
      <w:pPr>
        <w:rPr>
          <w:rFonts w:cs="Arial"/>
          <w:szCs w:val="24"/>
        </w:rPr>
      </w:pPr>
    </w:p>
    <w:p w14:paraId="350C7699" w14:textId="3BCC87E8" w:rsidR="005A3568" w:rsidRPr="000844FE" w:rsidRDefault="007620E7" w:rsidP="000844FE">
      <w:pPr>
        <w:rPr>
          <w:rFonts w:cs="Arial"/>
          <w:szCs w:val="24"/>
        </w:rPr>
      </w:pPr>
      <w:r w:rsidRPr="000844FE">
        <w:rPr>
          <w:rFonts w:cs="Arial"/>
          <w:szCs w:val="24"/>
        </w:rPr>
        <w:t>It is particularly positive that there is now some evidence</w:t>
      </w:r>
      <w:r w:rsidR="004C4C2B" w:rsidRPr="000844FE">
        <w:rPr>
          <w:rFonts w:cs="Arial"/>
          <w:szCs w:val="24"/>
        </w:rPr>
        <w:t xml:space="preserve"> available</w:t>
      </w:r>
      <w:r w:rsidRPr="000844FE">
        <w:rPr>
          <w:rFonts w:cs="Arial"/>
          <w:szCs w:val="24"/>
        </w:rPr>
        <w:t xml:space="preserve"> on the cost-effectiveness and quality of service provision in Supported Living S</w:t>
      </w:r>
      <w:r w:rsidR="00A2199F" w:rsidRPr="000844FE">
        <w:rPr>
          <w:rFonts w:cs="Arial"/>
          <w:szCs w:val="24"/>
        </w:rPr>
        <w:t>helters</w:t>
      </w:r>
      <w:r w:rsidRPr="000844FE">
        <w:rPr>
          <w:rFonts w:cs="Arial"/>
          <w:szCs w:val="24"/>
        </w:rPr>
        <w:t>, which is effectively the only</w:t>
      </w:r>
      <w:r w:rsidR="004C4C2B" w:rsidRPr="000844FE">
        <w:rPr>
          <w:rFonts w:cs="Arial"/>
          <w:szCs w:val="24"/>
        </w:rPr>
        <w:t xml:space="preserve"> </w:t>
      </w:r>
      <w:r w:rsidR="00F50E2F" w:rsidRPr="000844FE">
        <w:rPr>
          <w:rFonts w:cs="Arial"/>
          <w:szCs w:val="24"/>
        </w:rPr>
        <w:t>community-based</w:t>
      </w:r>
      <w:r w:rsidR="00A51214" w:rsidRPr="000844FE">
        <w:rPr>
          <w:rFonts w:cs="Arial"/>
          <w:szCs w:val="24"/>
        </w:rPr>
        <w:t xml:space="preserve"> accommodation and support scheme</w:t>
      </w:r>
      <w:r w:rsidRPr="000844FE">
        <w:rPr>
          <w:rFonts w:cs="Arial"/>
          <w:szCs w:val="24"/>
        </w:rPr>
        <w:t xml:space="preserve"> available</w:t>
      </w:r>
      <w:r w:rsidR="00A51214" w:rsidRPr="000844FE">
        <w:rPr>
          <w:rFonts w:cs="Arial"/>
          <w:szCs w:val="24"/>
        </w:rPr>
        <w:t xml:space="preserve"> for persons with </w:t>
      </w:r>
      <w:r w:rsidRPr="000844FE">
        <w:rPr>
          <w:rFonts w:cs="Arial"/>
          <w:szCs w:val="24"/>
        </w:rPr>
        <w:t xml:space="preserve">high </w:t>
      </w:r>
      <w:r w:rsidR="00A51214" w:rsidRPr="000844FE">
        <w:rPr>
          <w:rFonts w:cs="Arial"/>
          <w:szCs w:val="24"/>
        </w:rPr>
        <w:t>support needs</w:t>
      </w:r>
      <w:r w:rsidRPr="000844FE">
        <w:rPr>
          <w:rFonts w:cs="Arial"/>
          <w:szCs w:val="24"/>
        </w:rPr>
        <w:t>.</w:t>
      </w:r>
      <w:r w:rsidR="004C4C2B" w:rsidRPr="000844FE">
        <w:rPr>
          <w:rFonts w:cs="Arial"/>
          <w:szCs w:val="24"/>
        </w:rPr>
        <w:t xml:space="preserve"> The scheme is </w:t>
      </w:r>
      <w:r w:rsidR="00A51214" w:rsidRPr="000844FE">
        <w:rPr>
          <w:rFonts w:cs="Arial"/>
          <w:szCs w:val="24"/>
        </w:rPr>
        <w:t>shown to offer individualised assistance</w:t>
      </w:r>
      <w:r w:rsidR="004C4C2B" w:rsidRPr="000844FE">
        <w:rPr>
          <w:rFonts w:cs="Arial"/>
          <w:szCs w:val="24"/>
        </w:rPr>
        <w:t xml:space="preserve"> in daily life activities</w:t>
      </w:r>
      <w:r w:rsidR="00A51214" w:rsidRPr="000844FE">
        <w:rPr>
          <w:rFonts w:cs="Arial"/>
          <w:szCs w:val="24"/>
        </w:rPr>
        <w:t xml:space="preserve">, </w:t>
      </w:r>
      <w:r w:rsidR="004C4C2B" w:rsidRPr="000844FE">
        <w:rPr>
          <w:rFonts w:cs="Arial"/>
          <w:szCs w:val="24"/>
        </w:rPr>
        <w:t xml:space="preserve">a high </w:t>
      </w:r>
      <w:r w:rsidR="00A51214" w:rsidRPr="000844FE">
        <w:rPr>
          <w:rFonts w:cs="Arial"/>
          <w:szCs w:val="24"/>
        </w:rPr>
        <w:t>level of involvement of beneficiaries in daily tasks</w:t>
      </w:r>
      <w:r w:rsidR="00BF6614" w:rsidRPr="000844FE">
        <w:rPr>
          <w:rFonts w:cs="Arial"/>
          <w:szCs w:val="24"/>
        </w:rPr>
        <w:t>,</w:t>
      </w:r>
      <w:r w:rsidR="004C4C2B" w:rsidRPr="000844FE">
        <w:rPr>
          <w:rFonts w:cs="Arial"/>
          <w:szCs w:val="24"/>
        </w:rPr>
        <w:t xml:space="preserve"> and high level of</w:t>
      </w:r>
      <w:r w:rsidR="00BF6614" w:rsidRPr="000844FE">
        <w:rPr>
          <w:rFonts w:cs="Arial"/>
          <w:szCs w:val="24"/>
        </w:rPr>
        <w:t xml:space="preserve"> participation in activities in the community</w:t>
      </w:r>
      <w:r w:rsidR="004C4C2B" w:rsidRPr="000844FE">
        <w:rPr>
          <w:rFonts w:cs="Arial"/>
          <w:szCs w:val="24"/>
        </w:rPr>
        <w:t>.</w:t>
      </w:r>
      <w:r w:rsidR="007056E5" w:rsidRPr="000844FE">
        <w:rPr>
          <w:rFonts w:cs="Arial"/>
          <w:szCs w:val="24"/>
        </w:rPr>
        <w:t xml:space="preserve"> </w:t>
      </w:r>
    </w:p>
    <w:p w14:paraId="0842BFE9" w14:textId="77777777" w:rsidR="005A3568" w:rsidRPr="000844FE" w:rsidRDefault="005A3568" w:rsidP="000844FE">
      <w:pPr>
        <w:rPr>
          <w:rFonts w:cs="Arial"/>
          <w:szCs w:val="24"/>
        </w:rPr>
      </w:pPr>
    </w:p>
    <w:p w14:paraId="36500889" w14:textId="5A5EF28D" w:rsidR="00A2199F" w:rsidRPr="000844FE" w:rsidRDefault="00F50E2F" w:rsidP="000844FE">
      <w:pPr>
        <w:rPr>
          <w:rFonts w:cs="Arial"/>
          <w:szCs w:val="24"/>
        </w:rPr>
      </w:pPr>
      <w:r>
        <w:rPr>
          <w:rFonts w:cs="Arial"/>
          <w:szCs w:val="24"/>
        </w:rPr>
        <w:t>6</w:t>
      </w:r>
      <w:r w:rsidR="007056E5" w:rsidRPr="000844FE">
        <w:rPr>
          <w:rFonts w:cs="Arial"/>
          <w:szCs w:val="24"/>
        </w:rPr>
        <w:t xml:space="preserve"> out of 13 administrative regions in Greece </w:t>
      </w:r>
      <w:r w:rsidR="001D45F1" w:rsidRPr="000844FE">
        <w:rPr>
          <w:rFonts w:cs="Arial"/>
          <w:szCs w:val="24"/>
        </w:rPr>
        <w:t xml:space="preserve">however </w:t>
      </w:r>
      <w:r w:rsidR="007056E5" w:rsidRPr="000844FE">
        <w:rPr>
          <w:rFonts w:cs="Arial"/>
          <w:szCs w:val="24"/>
        </w:rPr>
        <w:t>lack entirely such structures</w:t>
      </w:r>
      <w:r w:rsidR="00B207EA" w:rsidRPr="000844FE">
        <w:rPr>
          <w:rFonts w:cs="Arial"/>
          <w:szCs w:val="24"/>
        </w:rPr>
        <w:t xml:space="preserve">, and more can be done to promote the expansion of this </w:t>
      </w:r>
      <w:r w:rsidR="001D45F1" w:rsidRPr="000844FE">
        <w:rPr>
          <w:rFonts w:cs="Arial"/>
          <w:szCs w:val="24"/>
        </w:rPr>
        <w:t>model on a strategic level, for instance</w:t>
      </w:r>
      <w:r w:rsidR="00B207EA" w:rsidRPr="000844FE">
        <w:rPr>
          <w:rFonts w:cs="Arial"/>
          <w:szCs w:val="24"/>
        </w:rPr>
        <w:t xml:space="preserve"> </w:t>
      </w:r>
      <w:r w:rsidR="00522918" w:rsidRPr="000844FE">
        <w:rPr>
          <w:rFonts w:cs="Arial"/>
          <w:szCs w:val="24"/>
        </w:rPr>
        <w:t xml:space="preserve">disseminate </w:t>
      </w:r>
      <w:r w:rsidR="001D45F1" w:rsidRPr="000844FE">
        <w:rPr>
          <w:rFonts w:cs="Arial"/>
          <w:szCs w:val="24"/>
        </w:rPr>
        <w:t xml:space="preserve">internally and externally the </w:t>
      </w:r>
      <w:r w:rsidR="00522918" w:rsidRPr="000844FE">
        <w:rPr>
          <w:rFonts w:cs="Arial"/>
          <w:szCs w:val="24"/>
        </w:rPr>
        <w:t>cost analysis findings</w:t>
      </w:r>
      <w:r w:rsidR="001D45F1" w:rsidRPr="000844FE">
        <w:rPr>
          <w:rFonts w:cs="Arial"/>
          <w:szCs w:val="24"/>
        </w:rPr>
        <w:t>, promote exchange of</w:t>
      </w:r>
      <w:r w:rsidR="00B207EA" w:rsidRPr="000844FE">
        <w:rPr>
          <w:rFonts w:cs="Arial"/>
          <w:szCs w:val="24"/>
        </w:rPr>
        <w:t xml:space="preserve"> </w:t>
      </w:r>
      <w:r w:rsidR="001D45F1" w:rsidRPr="000844FE">
        <w:rPr>
          <w:rFonts w:cs="Arial"/>
          <w:szCs w:val="24"/>
        </w:rPr>
        <w:t xml:space="preserve">good practice and </w:t>
      </w:r>
      <w:r w:rsidR="00B207EA" w:rsidRPr="000844FE">
        <w:rPr>
          <w:rFonts w:cs="Arial"/>
          <w:szCs w:val="24"/>
        </w:rPr>
        <w:t>lessons learned, promote further research</w:t>
      </w:r>
      <w:r w:rsidR="008947BF" w:rsidRPr="000844FE">
        <w:rPr>
          <w:rFonts w:cs="Arial"/>
          <w:szCs w:val="24"/>
        </w:rPr>
        <w:t xml:space="preserve">, </w:t>
      </w:r>
      <w:r w:rsidR="001D45F1" w:rsidRPr="000844FE">
        <w:rPr>
          <w:rFonts w:cs="Arial"/>
          <w:szCs w:val="24"/>
        </w:rPr>
        <w:t xml:space="preserve">and/or </w:t>
      </w:r>
      <w:r w:rsidR="008947BF" w:rsidRPr="000844FE">
        <w:rPr>
          <w:rFonts w:cs="Arial"/>
          <w:szCs w:val="24"/>
        </w:rPr>
        <w:t>develop official guidance</w:t>
      </w:r>
      <w:r w:rsidR="007056E5" w:rsidRPr="000844FE">
        <w:rPr>
          <w:rFonts w:cs="Arial"/>
          <w:szCs w:val="24"/>
        </w:rPr>
        <w:t xml:space="preserve">. </w:t>
      </w:r>
      <w:r w:rsidR="008D04EE" w:rsidRPr="000844FE">
        <w:rPr>
          <w:rFonts w:cs="Arial"/>
          <w:szCs w:val="24"/>
        </w:rPr>
        <w:t>It would be particularly important to mobilize resources into participatory</w:t>
      </w:r>
      <w:r w:rsidR="00FE10FA" w:rsidRPr="000844FE">
        <w:rPr>
          <w:rFonts w:cs="Arial"/>
          <w:szCs w:val="24"/>
        </w:rPr>
        <w:t xml:space="preserve"> research, </w:t>
      </w:r>
      <w:r w:rsidR="003B72B2" w:rsidRPr="000844FE">
        <w:rPr>
          <w:rFonts w:cs="Arial"/>
          <w:szCs w:val="24"/>
        </w:rPr>
        <w:t xml:space="preserve">which would </w:t>
      </w:r>
      <w:proofErr w:type="gramStart"/>
      <w:r w:rsidR="003B72B2" w:rsidRPr="000844FE">
        <w:rPr>
          <w:rFonts w:cs="Arial"/>
          <w:szCs w:val="24"/>
        </w:rPr>
        <w:t>look into</w:t>
      </w:r>
      <w:proofErr w:type="gramEnd"/>
      <w:r w:rsidR="00375942" w:rsidRPr="000844FE">
        <w:rPr>
          <w:rFonts w:cs="Arial"/>
          <w:szCs w:val="24"/>
        </w:rPr>
        <w:t xml:space="preserve"> the level of choice and control in the particular setting</w:t>
      </w:r>
      <w:r w:rsidR="003B72B2" w:rsidRPr="000844FE">
        <w:rPr>
          <w:rFonts w:cs="Arial"/>
          <w:szCs w:val="24"/>
        </w:rPr>
        <w:t xml:space="preserve"> in line with </w:t>
      </w:r>
      <w:r w:rsidR="00375942" w:rsidRPr="000844FE">
        <w:rPr>
          <w:rFonts w:cs="Arial"/>
          <w:szCs w:val="24"/>
        </w:rPr>
        <w:t>the spirit of independent living.</w:t>
      </w:r>
      <w:r w:rsidR="008D04EE" w:rsidRPr="000844FE">
        <w:rPr>
          <w:rFonts w:cs="Arial"/>
          <w:szCs w:val="24"/>
        </w:rPr>
        <w:t xml:space="preserve"> </w:t>
      </w:r>
    </w:p>
    <w:p w14:paraId="0BA6CF9F" w14:textId="77777777" w:rsidR="008947BF" w:rsidRPr="000844FE" w:rsidRDefault="008947BF" w:rsidP="000844FE">
      <w:pPr>
        <w:pStyle w:val="ListParagraph"/>
        <w:rPr>
          <w:rFonts w:cs="Arial"/>
          <w:szCs w:val="24"/>
        </w:rPr>
      </w:pPr>
    </w:p>
    <w:p w14:paraId="55003123" w14:textId="2ECAAADE" w:rsidR="008947BF" w:rsidRPr="000844FE" w:rsidRDefault="00B8266E" w:rsidP="000844FE">
      <w:pPr>
        <w:rPr>
          <w:rFonts w:cs="Arial"/>
          <w:szCs w:val="24"/>
        </w:rPr>
      </w:pPr>
      <w:r w:rsidRPr="000844FE">
        <w:rPr>
          <w:rFonts w:cs="Arial"/>
          <w:szCs w:val="24"/>
        </w:rPr>
        <w:t>Moreover, the a</w:t>
      </w:r>
      <w:r w:rsidR="00A2199F" w:rsidRPr="000844FE">
        <w:rPr>
          <w:rFonts w:cs="Arial"/>
          <w:szCs w:val="24"/>
        </w:rPr>
        <w:t>pproved budget for the resettlement of residents away from institutional care in the regions of Attika and Western Greece</w:t>
      </w:r>
      <w:r w:rsidRPr="000844FE">
        <w:rPr>
          <w:rFonts w:cs="Arial"/>
          <w:szCs w:val="24"/>
        </w:rPr>
        <w:t xml:space="preserve"> is </w:t>
      </w:r>
      <w:proofErr w:type="gramStart"/>
      <w:r w:rsidRPr="000844FE">
        <w:rPr>
          <w:rFonts w:cs="Arial"/>
          <w:szCs w:val="24"/>
        </w:rPr>
        <w:t>by all means a</w:t>
      </w:r>
      <w:proofErr w:type="gramEnd"/>
      <w:r w:rsidRPr="000844FE">
        <w:rPr>
          <w:rFonts w:cs="Arial"/>
          <w:szCs w:val="24"/>
        </w:rPr>
        <w:t xml:space="preserve"> positive, unprecedented development</w:t>
      </w:r>
      <w:r w:rsidR="008947BF" w:rsidRPr="000844FE">
        <w:rPr>
          <w:rFonts w:cs="Arial"/>
          <w:szCs w:val="24"/>
        </w:rPr>
        <w:t>. In parallel, t</w:t>
      </w:r>
      <w:r w:rsidR="00A2199F" w:rsidRPr="000844FE">
        <w:rPr>
          <w:rFonts w:cs="Arial"/>
          <w:szCs w:val="24"/>
        </w:rPr>
        <w:t>echnical expertise</w:t>
      </w:r>
      <w:r w:rsidR="00700A92" w:rsidRPr="000844FE">
        <w:rPr>
          <w:rFonts w:cs="Arial"/>
          <w:szCs w:val="24"/>
        </w:rPr>
        <w:t xml:space="preserve"> and research capacity </w:t>
      </w:r>
      <w:r w:rsidR="00410F01" w:rsidRPr="000844FE">
        <w:rPr>
          <w:rFonts w:cs="Arial"/>
          <w:szCs w:val="24"/>
        </w:rPr>
        <w:t>on de-institutionalization ha</w:t>
      </w:r>
      <w:r w:rsidR="00A2199F" w:rsidRPr="000844FE">
        <w:rPr>
          <w:rFonts w:cs="Arial"/>
          <w:szCs w:val="24"/>
        </w:rPr>
        <w:t xml:space="preserve">s </w:t>
      </w:r>
      <w:r w:rsidR="00410F01" w:rsidRPr="000844FE">
        <w:rPr>
          <w:rFonts w:cs="Arial"/>
          <w:szCs w:val="24"/>
        </w:rPr>
        <w:t xml:space="preserve">been </w:t>
      </w:r>
      <w:r w:rsidR="00A2199F" w:rsidRPr="000844FE">
        <w:rPr>
          <w:rFonts w:cs="Arial"/>
          <w:szCs w:val="24"/>
        </w:rPr>
        <w:t>available</w:t>
      </w:r>
      <w:r w:rsidR="00410F01" w:rsidRPr="000844FE">
        <w:rPr>
          <w:rFonts w:cs="Arial"/>
          <w:szCs w:val="24"/>
        </w:rPr>
        <w:t xml:space="preserve"> by</w:t>
      </w:r>
      <w:r w:rsidR="00A2199F" w:rsidRPr="000844FE">
        <w:rPr>
          <w:rFonts w:cs="Arial"/>
          <w:szCs w:val="24"/>
        </w:rPr>
        <w:t xml:space="preserve"> the International NGO Lumos</w:t>
      </w:r>
      <w:r w:rsidR="00700A92" w:rsidRPr="000844FE">
        <w:rPr>
          <w:rFonts w:cs="Arial"/>
          <w:szCs w:val="24"/>
        </w:rPr>
        <w:t xml:space="preserve"> </w:t>
      </w:r>
      <w:r w:rsidR="00A2199F" w:rsidRPr="000844FE">
        <w:rPr>
          <w:rFonts w:cs="Arial"/>
          <w:szCs w:val="24"/>
        </w:rPr>
        <w:t>in partnership with the Institute of Child He</w:t>
      </w:r>
      <w:r w:rsidR="00410F01" w:rsidRPr="000844FE">
        <w:rPr>
          <w:rFonts w:cs="Arial"/>
          <w:szCs w:val="24"/>
        </w:rPr>
        <w:t xml:space="preserve">alth. </w:t>
      </w:r>
      <w:r w:rsidR="008947BF" w:rsidRPr="000844FE">
        <w:rPr>
          <w:rFonts w:cs="Arial"/>
          <w:szCs w:val="24"/>
        </w:rPr>
        <w:t>However,</w:t>
      </w:r>
      <w:r w:rsidR="007B279D" w:rsidRPr="000844FE">
        <w:rPr>
          <w:rFonts w:cs="Arial"/>
          <w:szCs w:val="24"/>
        </w:rPr>
        <w:t xml:space="preserve"> there seems to be unjustified delay in implementation, which is possibly indicative of </w:t>
      </w:r>
      <w:r w:rsidR="005A3568" w:rsidRPr="000844FE">
        <w:rPr>
          <w:rFonts w:cs="Arial"/>
          <w:szCs w:val="24"/>
        </w:rPr>
        <w:t xml:space="preserve">obstacles in </w:t>
      </w:r>
      <w:r w:rsidR="007B279D" w:rsidRPr="000844FE">
        <w:rPr>
          <w:rFonts w:cs="Arial"/>
          <w:szCs w:val="24"/>
        </w:rPr>
        <w:t>bu</w:t>
      </w:r>
      <w:r w:rsidR="005A3568" w:rsidRPr="000844FE">
        <w:rPr>
          <w:rFonts w:cs="Arial"/>
          <w:szCs w:val="24"/>
        </w:rPr>
        <w:t>reaucratic or regulatory processes</w:t>
      </w:r>
      <w:r w:rsidR="007B279D" w:rsidRPr="000844FE">
        <w:rPr>
          <w:rFonts w:cs="Arial"/>
          <w:szCs w:val="24"/>
        </w:rPr>
        <w:t xml:space="preserve">, and fundamentally </w:t>
      </w:r>
      <w:r w:rsidR="005A3568" w:rsidRPr="000844FE">
        <w:rPr>
          <w:rFonts w:cs="Arial"/>
          <w:szCs w:val="24"/>
        </w:rPr>
        <w:t xml:space="preserve">indicative of a rather </w:t>
      </w:r>
      <w:r w:rsidR="007B279D" w:rsidRPr="000844FE">
        <w:rPr>
          <w:rFonts w:cs="Arial"/>
          <w:szCs w:val="24"/>
        </w:rPr>
        <w:t xml:space="preserve">limited perception of </w:t>
      </w:r>
      <w:r w:rsidR="005A3568" w:rsidRPr="000844FE">
        <w:rPr>
          <w:rFonts w:cs="Arial"/>
          <w:szCs w:val="24"/>
        </w:rPr>
        <w:t xml:space="preserve">the </w:t>
      </w:r>
      <w:r w:rsidR="007B279D" w:rsidRPr="000844FE">
        <w:rPr>
          <w:rFonts w:cs="Arial"/>
          <w:szCs w:val="24"/>
        </w:rPr>
        <w:t>urgency</w:t>
      </w:r>
      <w:r w:rsidR="005A3568" w:rsidRPr="000844FE">
        <w:rPr>
          <w:rFonts w:cs="Arial"/>
          <w:szCs w:val="24"/>
        </w:rPr>
        <w:t xml:space="preserve"> of the matter</w:t>
      </w:r>
      <w:r w:rsidR="007B279D" w:rsidRPr="000844FE">
        <w:rPr>
          <w:rFonts w:cs="Arial"/>
          <w:szCs w:val="24"/>
        </w:rPr>
        <w:t xml:space="preserve"> among official authorities.</w:t>
      </w:r>
    </w:p>
    <w:p w14:paraId="7FD2B01E" w14:textId="77777777" w:rsidR="008947BF" w:rsidRPr="000844FE" w:rsidRDefault="008947BF" w:rsidP="000844FE">
      <w:pPr>
        <w:pStyle w:val="ListParagraph"/>
        <w:rPr>
          <w:rFonts w:cs="Arial"/>
          <w:szCs w:val="24"/>
        </w:rPr>
      </w:pPr>
    </w:p>
    <w:p w14:paraId="7A05BA36" w14:textId="4B18588C" w:rsidR="00A2199F" w:rsidRPr="000844FE" w:rsidRDefault="007B279D" w:rsidP="000844FE">
      <w:pPr>
        <w:rPr>
          <w:rFonts w:cs="Arial"/>
          <w:szCs w:val="24"/>
        </w:rPr>
      </w:pPr>
      <w:r w:rsidRPr="000844FE">
        <w:rPr>
          <w:rFonts w:cs="Arial"/>
          <w:szCs w:val="24"/>
        </w:rPr>
        <w:t xml:space="preserve">Finally, </w:t>
      </w:r>
      <w:r w:rsidR="00B11D60" w:rsidRPr="000844FE">
        <w:rPr>
          <w:rFonts w:cs="Arial"/>
          <w:szCs w:val="24"/>
        </w:rPr>
        <w:t>it is positive that common r</w:t>
      </w:r>
      <w:r w:rsidR="00A51214" w:rsidRPr="000844FE">
        <w:rPr>
          <w:rFonts w:cs="Arial"/>
          <w:szCs w:val="24"/>
        </w:rPr>
        <w:t>eporting processes</w:t>
      </w:r>
      <w:r w:rsidR="00A2199F" w:rsidRPr="000844FE">
        <w:rPr>
          <w:rFonts w:cs="Arial"/>
          <w:szCs w:val="24"/>
        </w:rPr>
        <w:t xml:space="preserve"> </w:t>
      </w:r>
      <w:r w:rsidR="00B11D60" w:rsidRPr="000844FE">
        <w:rPr>
          <w:rFonts w:cs="Arial"/>
          <w:szCs w:val="24"/>
        </w:rPr>
        <w:t xml:space="preserve">are now </w:t>
      </w:r>
      <w:r w:rsidR="00A51214" w:rsidRPr="000844FE">
        <w:rPr>
          <w:rFonts w:cs="Arial"/>
          <w:szCs w:val="24"/>
        </w:rPr>
        <w:t>in place for monitoring community-bas</w:t>
      </w:r>
      <w:r w:rsidR="00B11D60" w:rsidRPr="000844FE">
        <w:rPr>
          <w:rFonts w:cs="Arial"/>
          <w:szCs w:val="24"/>
        </w:rPr>
        <w:t>ed disability service provision</w:t>
      </w:r>
      <w:r w:rsidR="005A3568" w:rsidRPr="000844FE">
        <w:rPr>
          <w:rFonts w:cs="Arial"/>
          <w:szCs w:val="24"/>
        </w:rPr>
        <w:t xml:space="preserve"> which has been typically funded by ESF/ERDF</w:t>
      </w:r>
      <w:r w:rsidR="00B11D60" w:rsidRPr="000844FE">
        <w:rPr>
          <w:rFonts w:cs="Arial"/>
          <w:szCs w:val="24"/>
        </w:rPr>
        <w:t>.</w:t>
      </w:r>
      <w:r w:rsidR="00A51214" w:rsidRPr="000844FE">
        <w:rPr>
          <w:rFonts w:cs="Arial"/>
          <w:szCs w:val="24"/>
        </w:rPr>
        <w:t xml:space="preserve"> </w:t>
      </w:r>
      <w:r w:rsidR="005A3568" w:rsidRPr="000844FE">
        <w:rPr>
          <w:rFonts w:cs="Arial"/>
          <w:szCs w:val="24"/>
        </w:rPr>
        <w:t>I</w:t>
      </w:r>
      <w:r w:rsidR="00B11D60" w:rsidRPr="000844FE">
        <w:rPr>
          <w:rFonts w:cs="Arial"/>
          <w:szCs w:val="24"/>
        </w:rPr>
        <w:t xml:space="preserve">t is important to establish additional and/ or more detailed indicators for capturing the range of services provided, the level of reach </w:t>
      </w:r>
      <w:r w:rsidR="003358A4" w:rsidRPr="000844FE">
        <w:rPr>
          <w:rFonts w:cs="Arial"/>
          <w:szCs w:val="24"/>
        </w:rPr>
        <w:t xml:space="preserve">of the target population, and improvement of services according to EU and UN CRPD quality framework. </w:t>
      </w:r>
    </w:p>
    <w:p w14:paraId="08BE8A69" w14:textId="77777777" w:rsidR="00191463" w:rsidRPr="000844FE" w:rsidRDefault="00191463" w:rsidP="004B1583"/>
    <w:p w14:paraId="740426BB" w14:textId="4E8D73C2" w:rsidR="008E4ACD" w:rsidRPr="000844FE" w:rsidRDefault="008E4ACD" w:rsidP="007D5E47">
      <w:pPr>
        <w:pStyle w:val="Heading1"/>
      </w:pPr>
      <w:bookmarkStart w:id="68" w:name="_Toc529874087"/>
      <w:bookmarkStart w:id="69" w:name="_Toc7608781"/>
      <w:r w:rsidRPr="000844FE">
        <w:t>Negative developments including examples of poor practice</w:t>
      </w:r>
      <w:bookmarkEnd w:id="68"/>
      <w:bookmarkEnd w:id="69"/>
    </w:p>
    <w:p w14:paraId="4CE9DAFC" w14:textId="072B97DD" w:rsidR="008E4ACD" w:rsidRPr="000844FE" w:rsidRDefault="008E4ACD" w:rsidP="000844FE">
      <w:pPr>
        <w:rPr>
          <w:rFonts w:cs="Arial"/>
          <w:szCs w:val="24"/>
        </w:rPr>
      </w:pPr>
    </w:p>
    <w:p w14:paraId="67AAE50A" w14:textId="5371CC8B" w:rsidR="00206F59" w:rsidRPr="000844FE" w:rsidRDefault="00914FE8" w:rsidP="000844FE">
      <w:pPr>
        <w:rPr>
          <w:rFonts w:cs="Arial"/>
          <w:szCs w:val="24"/>
        </w:rPr>
      </w:pPr>
      <w:r w:rsidRPr="000844FE">
        <w:rPr>
          <w:rFonts w:cs="Arial"/>
          <w:szCs w:val="24"/>
        </w:rPr>
        <w:t>There is a clear lack of systematic data collection on institutional care spending and community-based services. This would allow cost comparative analysis as well as monitoring progress of deinstitutionali</w:t>
      </w:r>
      <w:r w:rsidR="00F50E2F">
        <w:rPr>
          <w:rFonts w:cs="Arial"/>
          <w:szCs w:val="24"/>
        </w:rPr>
        <w:t>s</w:t>
      </w:r>
      <w:r w:rsidRPr="000844FE">
        <w:rPr>
          <w:rFonts w:cs="Arial"/>
          <w:szCs w:val="24"/>
        </w:rPr>
        <w:t>ation on a national level.</w:t>
      </w:r>
    </w:p>
    <w:p w14:paraId="7339D8C8" w14:textId="77777777" w:rsidR="00206F59" w:rsidRPr="000844FE" w:rsidRDefault="00206F59" w:rsidP="000844FE">
      <w:pPr>
        <w:rPr>
          <w:rFonts w:cs="Arial"/>
          <w:szCs w:val="24"/>
        </w:rPr>
      </w:pPr>
    </w:p>
    <w:p w14:paraId="0CB4264F" w14:textId="77777777" w:rsidR="00640003" w:rsidRPr="000844FE" w:rsidRDefault="00206F59" w:rsidP="000844FE">
      <w:pPr>
        <w:rPr>
          <w:rFonts w:cs="Arial"/>
          <w:szCs w:val="24"/>
        </w:rPr>
      </w:pPr>
      <w:r w:rsidRPr="000844FE">
        <w:rPr>
          <w:rFonts w:cs="Arial"/>
          <w:szCs w:val="24"/>
        </w:rPr>
        <w:t>Multipl</w:t>
      </w:r>
      <w:r w:rsidR="00D95460" w:rsidRPr="000844FE">
        <w:rPr>
          <w:rFonts w:cs="Arial"/>
          <w:szCs w:val="24"/>
        </w:rPr>
        <w:t>e actors</w:t>
      </w:r>
      <w:r w:rsidRPr="000844FE">
        <w:rPr>
          <w:rFonts w:cs="Arial"/>
          <w:szCs w:val="24"/>
        </w:rPr>
        <w:t xml:space="preserve"> including </w:t>
      </w:r>
      <w:r w:rsidR="00D95460" w:rsidRPr="000844FE">
        <w:rPr>
          <w:rFonts w:cs="Arial"/>
          <w:szCs w:val="24"/>
        </w:rPr>
        <w:t xml:space="preserve">UN and EU human rights committees, European and national </w:t>
      </w:r>
      <w:r w:rsidRPr="000844FE">
        <w:rPr>
          <w:rFonts w:cs="Arial"/>
          <w:szCs w:val="24"/>
        </w:rPr>
        <w:t xml:space="preserve">independent monitoring bodies and civil society, have </w:t>
      </w:r>
      <w:r w:rsidR="00D95460" w:rsidRPr="000844FE">
        <w:rPr>
          <w:rFonts w:cs="Arial"/>
          <w:szCs w:val="24"/>
        </w:rPr>
        <w:t xml:space="preserve">consistently </w:t>
      </w:r>
      <w:r w:rsidRPr="000844FE">
        <w:rPr>
          <w:rFonts w:cs="Arial"/>
          <w:szCs w:val="24"/>
        </w:rPr>
        <w:t>pointe</w:t>
      </w:r>
      <w:r w:rsidR="00D95460" w:rsidRPr="000844FE">
        <w:rPr>
          <w:rFonts w:cs="Arial"/>
          <w:szCs w:val="24"/>
        </w:rPr>
        <w:t>d to</w:t>
      </w:r>
      <w:r w:rsidR="00F6070C" w:rsidRPr="000844FE">
        <w:rPr>
          <w:rFonts w:cs="Arial"/>
          <w:szCs w:val="24"/>
        </w:rPr>
        <w:t xml:space="preserve"> violations of fundamental rights in institutional care settings</w:t>
      </w:r>
      <w:r w:rsidR="002A5367" w:rsidRPr="000844FE">
        <w:rPr>
          <w:rFonts w:cs="Arial"/>
          <w:szCs w:val="24"/>
        </w:rPr>
        <w:t>, and compounding systemic gaps such as lack of quality standards and inspection mechanisms</w:t>
      </w:r>
      <w:r w:rsidR="00F50A5C" w:rsidRPr="000844FE">
        <w:rPr>
          <w:rFonts w:cs="Arial"/>
          <w:szCs w:val="24"/>
        </w:rPr>
        <w:t xml:space="preserve"> in residential units, </w:t>
      </w:r>
      <w:r w:rsidR="002A5367" w:rsidRPr="000844FE">
        <w:rPr>
          <w:rFonts w:cs="Arial"/>
          <w:szCs w:val="24"/>
        </w:rPr>
        <w:t>limited training of staff</w:t>
      </w:r>
      <w:r w:rsidR="00F50A5C" w:rsidRPr="000844FE">
        <w:rPr>
          <w:rFonts w:cs="Arial"/>
          <w:szCs w:val="24"/>
        </w:rPr>
        <w:t xml:space="preserve"> in those settings</w:t>
      </w:r>
      <w:r w:rsidR="002A5367" w:rsidRPr="000844FE">
        <w:rPr>
          <w:rFonts w:cs="Arial"/>
          <w:szCs w:val="24"/>
        </w:rPr>
        <w:t xml:space="preserve">, </w:t>
      </w:r>
      <w:r w:rsidR="00D75081" w:rsidRPr="000844FE">
        <w:rPr>
          <w:rFonts w:cs="Arial"/>
          <w:szCs w:val="24"/>
        </w:rPr>
        <w:t xml:space="preserve">lack of monitoring systems for recording and responding to </w:t>
      </w:r>
      <w:r w:rsidR="00A30913" w:rsidRPr="000844FE">
        <w:rPr>
          <w:rFonts w:cs="Arial"/>
          <w:szCs w:val="24"/>
        </w:rPr>
        <w:t>incidents of institutional abuse as well as very limited capacity of social services to provide support in the community which could prevent admission to institutional care.</w:t>
      </w:r>
    </w:p>
    <w:p w14:paraId="7FE895F1" w14:textId="77777777" w:rsidR="00640003" w:rsidRPr="000844FE" w:rsidRDefault="00640003" w:rsidP="000844FE">
      <w:pPr>
        <w:rPr>
          <w:rFonts w:cs="Arial"/>
          <w:szCs w:val="24"/>
        </w:rPr>
      </w:pPr>
    </w:p>
    <w:p w14:paraId="2E6DB11C" w14:textId="3B2ED1AC" w:rsidR="00914FE8" w:rsidRPr="000844FE" w:rsidRDefault="00640003" w:rsidP="000844FE">
      <w:pPr>
        <w:rPr>
          <w:rFonts w:cs="Arial"/>
          <w:szCs w:val="24"/>
        </w:rPr>
      </w:pPr>
      <w:r w:rsidRPr="000844FE">
        <w:rPr>
          <w:rFonts w:cs="Arial"/>
          <w:szCs w:val="24"/>
        </w:rPr>
        <w:lastRenderedPageBreak/>
        <w:t>To date, no governmental or regional/local authority demonstrates a plan to respond to these gaps and challenges.</w:t>
      </w:r>
      <w:r w:rsidR="00DE0B12">
        <w:rPr>
          <w:rFonts w:cs="Arial"/>
          <w:szCs w:val="24"/>
        </w:rPr>
        <w:t xml:space="preserve">   </w:t>
      </w:r>
      <w:r w:rsidR="00914FE8" w:rsidRPr="000844FE">
        <w:rPr>
          <w:rFonts w:cs="Arial"/>
          <w:szCs w:val="24"/>
        </w:rPr>
        <w:t xml:space="preserve"> </w:t>
      </w:r>
    </w:p>
    <w:p w14:paraId="37580A26" w14:textId="77777777" w:rsidR="001317FB" w:rsidRPr="000844FE" w:rsidRDefault="001317FB" w:rsidP="007D5E47"/>
    <w:p w14:paraId="575739E3" w14:textId="54071EF7" w:rsidR="0071002D" w:rsidRPr="000844FE" w:rsidRDefault="008E4ACD" w:rsidP="007D5E47">
      <w:pPr>
        <w:pStyle w:val="Heading1"/>
      </w:pPr>
      <w:bookmarkStart w:id="70" w:name="_Toc529874088"/>
      <w:bookmarkStart w:id="71" w:name="_Toc7608782"/>
      <w:r w:rsidRPr="000844FE">
        <w:t>Recommendations</w:t>
      </w:r>
      <w:bookmarkEnd w:id="70"/>
      <w:bookmarkEnd w:id="71"/>
    </w:p>
    <w:p w14:paraId="3DE22A5D" w14:textId="77777777" w:rsidR="00891BD6" w:rsidRPr="000844FE" w:rsidRDefault="00891BD6" w:rsidP="000844FE">
      <w:pPr>
        <w:rPr>
          <w:rFonts w:cs="Arial"/>
          <w:szCs w:val="24"/>
        </w:rPr>
      </w:pPr>
    </w:p>
    <w:p w14:paraId="2272DADA" w14:textId="75DECC81" w:rsidR="00891BD6" w:rsidRDefault="003A60FA" w:rsidP="004B1583">
      <w:pPr>
        <w:pStyle w:val="ListParagraph"/>
        <w:numPr>
          <w:ilvl w:val="0"/>
          <w:numId w:val="35"/>
        </w:numPr>
        <w:ind w:left="567" w:hanging="567"/>
        <w:rPr>
          <w:rFonts w:cs="Arial"/>
          <w:b/>
          <w:szCs w:val="24"/>
        </w:rPr>
      </w:pPr>
      <w:r w:rsidRPr="000844FE">
        <w:rPr>
          <w:rFonts w:cs="Arial"/>
          <w:b/>
          <w:szCs w:val="24"/>
        </w:rPr>
        <w:t>Systematic d</w:t>
      </w:r>
      <w:r w:rsidR="00891BD6" w:rsidRPr="000844FE">
        <w:rPr>
          <w:rFonts w:cs="Arial"/>
          <w:b/>
          <w:szCs w:val="24"/>
        </w:rPr>
        <w:t>ata collection</w:t>
      </w:r>
      <w:r w:rsidRPr="000844FE">
        <w:rPr>
          <w:rFonts w:cs="Arial"/>
          <w:b/>
          <w:szCs w:val="24"/>
        </w:rPr>
        <w:t xml:space="preserve"> on institutional care</w:t>
      </w:r>
      <w:r w:rsidR="002E0A31" w:rsidRPr="000844FE">
        <w:rPr>
          <w:rFonts w:cs="Arial"/>
          <w:b/>
          <w:szCs w:val="24"/>
        </w:rPr>
        <w:t xml:space="preserve"> versus community-based schemes </w:t>
      </w:r>
    </w:p>
    <w:p w14:paraId="7F585C75" w14:textId="77777777" w:rsidR="004B1583" w:rsidRPr="000844FE" w:rsidRDefault="004B1583" w:rsidP="004B1583">
      <w:pPr>
        <w:pStyle w:val="ListParagraph"/>
        <w:ind w:left="360"/>
        <w:rPr>
          <w:rFonts w:cs="Arial"/>
          <w:b/>
          <w:szCs w:val="24"/>
        </w:rPr>
      </w:pPr>
    </w:p>
    <w:p w14:paraId="67CBBD3C" w14:textId="4FC0E4B6" w:rsidR="003E63A0" w:rsidRPr="000844FE" w:rsidRDefault="003A60FA" w:rsidP="004B1583">
      <w:pPr>
        <w:pStyle w:val="ListParagraph"/>
        <w:numPr>
          <w:ilvl w:val="1"/>
          <w:numId w:val="35"/>
        </w:numPr>
        <w:ind w:left="1134" w:hanging="567"/>
        <w:rPr>
          <w:rFonts w:cs="Arial"/>
          <w:szCs w:val="24"/>
        </w:rPr>
      </w:pPr>
      <w:r w:rsidRPr="000844FE">
        <w:rPr>
          <w:rFonts w:cs="Arial"/>
          <w:szCs w:val="24"/>
        </w:rPr>
        <w:t>Compile and report data relevant to long-term social care (HCR1) and the categories</w:t>
      </w:r>
      <w:r w:rsidR="00C36EDA" w:rsidRPr="000844FE">
        <w:rPr>
          <w:rFonts w:cs="Arial"/>
          <w:szCs w:val="24"/>
        </w:rPr>
        <w:t xml:space="preserve"> of</w:t>
      </w:r>
      <w:r w:rsidRPr="000844FE">
        <w:rPr>
          <w:rFonts w:cs="Arial"/>
          <w:szCs w:val="24"/>
        </w:rPr>
        <w:t xml:space="preserve"> outpatient long term care and day long-term care under (HC3) in SHA 2011; similarly</w:t>
      </w:r>
      <w:r w:rsidR="00F50E2F">
        <w:rPr>
          <w:rFonts w:cs="Arial"/>
          <w:szCs w:val="24"/>
        </w:rPr>
        <w:t>,</w:t>
      </w:r>
      <w:r w:rsidRPr="000844FE">
        <w:rPr>
          <w:rFonts w:cs="Arial"/>
          <w:szCs w:val="24"/>
        </w:rPr>
        <w:t xml:space="preserve"> </w:t>
      </w:r>
      <w:r w:rsidR="00C36EDA" w:rsidRPr="000844FE">
        <w:rPr>
          <w:rFonts w:cs="Arial"/>
          <w:szCs w:val="24"/>
        </w:rPr>
        <w:t xml:space="preserve">systematically </w:t>
      </w:r>
      <w:r w:rsidRPr="000844FE">
        <w:rPr>
          <w:rFonts w:cs="Arial"/>
          <w:szCs w:val="24"/>
        </w:rPr>
        <w:t xml:space="preserve">collect </w:t>
      </w:r>
      <w:r w:rsidR="00C36EDA" w:rsidRPr="000844FE">
        <w:rPr>
          <w:rFonts w:cs="Arial"/>
          <w:szCs w:val="24"/>
        </w:rPr>
        <w:t xml:space="preserve">and report </w:t>
      </w:r>
      <w:r w:rsidRPr="000844FE">
        <w:rPr>
          <w:rFonts w:cs="Arial"/>
          <w:szCs w:val="24"/>
        </w:rPr>
        <w:t>data under disability provisions for accommodation and support with daily life in the ESSPROS survey.</w:t>
      </w:r>
    </w:p>
    <w:p w14:paraId="65731326" w14:textId="77777777" w:rsidR="003E63A0" w:rsidRPr="000844FE" w:rsidRDefault="003E63A0" w:rsidP="000844FE">
      <w:pPr>
        <w:ind w:left="360"/>
        <w:rPr>
          <w:rFonts w:cs="Arial"/>
          <w:szCs w:val="24"/>
        </w:rPr>
      </w:pPr>
    </w:p>
    <w:p w14:paraId="6FD8614C" w14:textId="7A30976D" w:rsidR="003A60FA" w:rsidRPr="000844FE" w:rsidRDefault="00FD1C3D" w:rsidP="004B1583">
      <w:pPr>
        <w:pStyle w:val="ListParagraph"/>
        <w:numPr>
          <w:ilvl w:val="1"/>
          <w:numId w:val="35"/>
        </w:numPr>
        <w:ind w:left="1134" w:hanging="567"/>
        <w:rPr>
          <w:rFonts w:cs="Arial"/>
          <w:szCs w:val="24"/>
        </w:rPr>
      </w:pPr>
      <w:r w:rsidRPr="000844FE">
        <w:rPr>
          <w:rFonts w:cs="Arial"/>
          <w:szCs w:val="24"/>
        </w:rPr>
        <w:t xml:space="preserve"> </w:t>
      </w:r>
      <w:r w:rsidR="003E63A0" w:rsidRPr="000844FE">
        <w:rPr>
          <w:rFonts w:cs="Arial"/>
          <w:szCs w:val="24"/>
        </w:rPr>
        <w:t>Perform cost effectiveness assessment</w:t>
      </w:r>
      <w:r w:rsidR="003A60FA" w:rsidRPr="000844FE">
        <w:rPr>
          <w:rFonts w:cs="Arial"/>
          <w:szCs w:val="24"/>
        </w:rPr>
        <w:t xml:space="preserve"> for</w:t>
      </w:r>
      <w:r w:rsidR="002E0A31" w:rsidRPr="000844FE">
        <w:rPr>
          <w:rFonts w:cs="Arial"/>
          <w:szCs w:val="24"/>
        </w:rPr>
        <w:t xml:space="preserve"> institutional care vs support in the community, especially shelter an</w:t>
      </w:r>
      <w:r w:rsidR="00094A8F" w:rsidRPr="000844FE">
        <w:rPr>
          <w:rFonts w:cs="Arial"/>
          <w:szCs w:val="24"/>
        </w:rPr>
        <w:t>d personalised support service/ personal assistance schemes</w:t>
      </w:r>
      <w:r w:rsidR="002E0A31" w:rsidRPr="000844FE">
        <w:rPr>
          <w:rFonts w:cs="Arial"/>
          <w:szCs w:val="24"/>
        </w:rPr>
        <w:t xml:space="preserve">, </w:t>
      </w:r>
      <w:r w:rsidR="003E63A0" w:rsidRPr="000844FE">
        <w:rPr>
          <w:rFonts w:cs="Arial"/>
          <w:szCs w:val="24"/>
        </w:rPr>
        <w:t xml:space="preserve">to inform strategic action planning </w:t>
      </w:r>
      <w:r w:rsidR="003A60FA" w:rsidRPr="000844FE">
        <w:rPr>
          <w:rFonts w:cs="Arial"/>
          <w:szCs w:val="24"/>
        </w:rPr>
        <w:t>on de-institutionalisation.</w:t>
      </w:r>
    </w:p>
    <w:p w14:paraId="1C7C16EB" w14:textId="77777777" w:rsidR="003A60FA" w:rsidRPr="000844FE" w:rsidRDefault="003A60FA" w:rsidP="000844FE">
      <w:pPr>
        <w:rPr>
          <w:rFonts w:cs="Arial"/>
          <w:szCs w:val="24"/>
        </w:rPr>
      </w:pPr>
    </w:p>
    <w:p w14:paraId="7263535E" w14:textId="79DFB6C5" w:rsidR="00C07100" w:rsidRDefault="00C07100" w:rsidP="004B1583">
      <w:pPr>
        <w:pStyle w:val="ListParagraph"/>
        <w:numPr>
          <w:ilvl w:val="0"/>
          <w:numId w:val="35"/>
        </w:numPr>
        <w:ind w:left="567" w:hanging="567"/>
        <w:rPr>
          <w:rFonts w:cs="Arial"/>
          <w:b/>
          <w:szCs w:val="24"/>
        </w:rPr>
      </w:pPr>
      <w:r w:rsidRPr="000844FE">
        <w:rPr>
          <w:rFonts w:cs="Arial"/>
          <w:b/>
          <w:szCs w:val="24"/>
        </w:rPr>
        <w:t>Strategic Action Planning and Investment</w:t>
      </w:r>
      <w:r w:rsidR="004A1388" w:rsidRPr="000844FE">
        <w:rPr>
          <w:rFonts w:cs="Arial"/>
          <w:b/>
          <w:szCs w:val="24"/>
        </w:rPr>
        <w:t xml:space="preserve"> for replacing institutional care</w:t>
      </w:r>
    </w:p>
    <w:p w14:paraId="16738CB2" w14:textId="77777777" w:rsidR="004B1583" w:rsidRPr="004B1583" w:rsidRDefault="004B1583" w:rsidP="004B1583">
      <w:pPr>
        <w:rPr>
          <w:rFonts w:cs="Arial"/>
          <w:b/>
          <w:szCs w:val="24"/>
        </w:rPr>
      </w:pPr>
    </w:p>
    <w:p w14:paraId="2DBA09EE" w14:textId="0E9081EA" w:rsidR="00EF7EE6" w:rsidRPr="000844FE" w:rsidRDefault="004A0FA1" w:rsidP="004B1583">
      <w:pPr>
        <w:pStyle w:val="ListParagraph"/>
        <w:numPr>
          <w:ilvl w:val="1"/>
          <w:numId w:val="35"/>
        </w:numPr>
        <w:ind w:left="1134" w:hanging="567"/>
        <w:rPr>
          <w:rFonts w:cs="Arial"/>
          <w:szCs w:val="24"/>
        </w:rPr>
      </w:pPr>
      <w:r w:rsidRPr="000844FE">
        <w:rPr>
          <w:rFonts w:cs="Arial"/>
          <w:szCs w:val="24"/>
        </w:rPr>
        <w:t>Invest in and e</w:t>
      </w:r>
      <w:r w:rsidR="003E63A0" w:rsidRPr="000844FE">
        <w:rPr>
          <w:rFonts w:cs="Arial"/>
          <w:szCs w:val="24"/>
        </w:rPr>
        <w:t xml:space="preserve">stablish </w:t>
      </w:r>
      <w:r w:rsidR="00C07100" w:rsidRPr="000844FE">
        <w:rPr>
          <w:rFonts w:cs="Arial"/>
          <w:szCs w:val="24"/>
        </w:rPr>
        <w:t>alternative</w:t>
      </w:r>
      <w:r w:rsidR="00094A8F" w:rsidRPr="000844FE">
        <w:rPr>
          <w:rFonts w:cs="Arial"/>
          <w:szCs w:val="24"/>
        </w:rPr>
        <w:t xml:space="preserve"> diversified</w:t>
      </w:r>
      <w:r w:rsidR="00C07100" w:rsidRPr="000844FE">
        <w:rPr>
          <w:rFonts w:cs="Arial"/>
          <w:szCs w:val="24"/>
        </w:rPr>
        <w:t xml:space="preserve"> </w:t>
      </w:r>
      <w:r w:rsidR="00F50E2F" w:rsidRPr="000844FE">
        <w:rPr>
          <w:rFonts w:cs="Arial"/>
          <w:szCs w:val="24"/>
        </w:rPr>
        <w:t>community-based</w:t>
      </w:r>
      <w:r w:rsidR="00094A8F" w:rsidRPr="000844FE">
        <w:rPr>
          <w:rFonts w:cs="Arial"/>
          <w:szCs w:val="24"/>
        </w:rPr>
        <w:t xml:space="preserve"> support</w:t>
      </w:r>
      <w:r w:rsidR="00C07100" w:rsidRPr="000844FE">
        <w:rPr>
          <w:rFonts w:cs="Arial"/>
          <w:szCs w:val="24"/>
        </w:rPr>
        <w:t xml:space="preserve"> services: emergency, specialist, respite and long-term foster care, kinship care, small group homes, mother and baby foster care</w:t>
      </w:r>
      <w:r w:rsidR="00F36091">
        <w:rPr>
          <w:rFonts w:cs="Arial"/>
          <w:szCs w:val="24"/>
        </w:rPr>
        <w:t>.</w:t>
      </w:r>
      <w:r w:rsidR="00C07100" w:rsidRPr="000844FE">
        <w:rPr>
          <w:rStyle w:val="FootnoteReference"/>
          <w:rFonts w:cs="Arial"/>
          <w:sz w:val="24"/>
          <w:szCs w:val="24"/>
        </w:rPr>
        <w:footnoteReference w:id="88"/>
      </w:r>
    </w:p>
    <w:p w14:paraId="1600A0EC" w14:textId="77777777" w:rsidR="00EF7EE6" w:rsidRPr="000844FE" w:rsidRDefault="00EF7EE6" w:rsidP="000844FE">
      <w:pPr>
        <w:pStyle w:val="ListParagraph"/>
        <w:ind w:left="360"/>
        <w:rPr>
          <w:rFonts w:cs="Arial"/>
          <w:szCs w:val="24"/>
        </w:rPr>
      </w:pPr>
    </w:p>
    <w:p w14:paraId="7514DE08" w14:textId="09C394F9" w:rsidR="00694866" w:rsidRPr="000844FE" w:rsidRDefault="00003D7E" w:rsidP="004B1583">
      <w:pPr>
        <w:pStyle w:val="ListParagraph"/>
        <w:numPr>
          <w:ilvl w:val="1"/>
          <w:numId w:val="35"/>
        </w:numPr>
        <w:ind w:left="1134" w:hanging="567"/>
        <w:rPr>
          <w:rFonts w:cs="Arial"/>
          <w:szCs w:val="24"/>
        </w:rPr>
      </w:pPr>
      <w:r w:rsidRPr="000844FE">
        <w:rPr>
          <w:rFonts w:cs="Arial"/>
          <w:szCs w:val="24"/>
        </w:rPr>
        <w:t>Continue to invest in improving</w:t>
      </w:r>
      <w:r w:rsidR="00C07100" w:rsidRPr="000844FE">
        <w:rPr>
          <w:rFonts w:cs="Arial"/>
          <w:szCs w:val="24"/>
        </w:rPr>
        <w:t xml:space="preserve"> the accessibility of universal services, such as health and education servi</w:t>
      </w:r>
      <w:r w:rsidR="003E63A0" w:rsidRPr="000844FE">
        <w:rPr>
          <w:rFonts w:cs="Arial"/>
          <w:szCs w:val="24"/>
        </w:rPr>
        <w:t xml:space="preserve">ces to ensure </w:t>
      </w:r>
      <w:r w:rsidR="00C07100" w:rsidRPr="000844FE">
        <w:rPr>
          <w:rFonts w:cs="Arial"/>
          <w:szCs w:val="24"/>
        </w:rPr>
        <w:t>children</w:t>
      </w:r>
      <w:r w:rsidR="003E63A0" w:rsidRPr="000844FE">
        <w:rPr>
          <w:rFonts w:cs="Arial"/>
          <w:szCs w:val="24"/>
        </w:rPr>
        <w:t xml:space="preserve"> (and adults)</w:t>
      </w:r>
      <w:r w:rsidR="00C07100" w:rsidRPr="000844FE">
        <w:rPr>
          <w:rFonts w:cs="Arial"/>
          <w:szCs w:val="24"/>
        </w:rPr>
        <w:t xml:space="preserve"> with disabilities and other children and families </w:t>
      </w:r>
      <w:r w:rsidR="003E63A0" w:rsidRPr="000844FE">
        <w:rPr>
          <w:rFonts w:cs="Arial"/>
          <w:szCs w:val="24"/>
        </w:rPr>
        <w:t xml:space="preserve">at risk </w:t>
      </w:r>
      <w:r w:rsidR="00C07100" w:rsidRPr="000844FE">
        <w:rPr>
          <w:rFonts w:cs="Arial"/>
          <w:szCs w:val="24"/>
        </w:rPr>
        <w:t>can access them</w:t>
      </w:r>
      <w:r w:rsidR="00F36091">
        <w:rPr>
          <w:rFonts w:cs="Arial"/>
          <w:szCs w:val="24"/>
        </w:rPr>
        <w:t>.</w:t>
      </w:r>
      <w:r w:rsidR="003E63A0" w:rsidRPr="000844FE">
        <w:rPr>
          <w:rStyle w:val="FootnoteReference"/>
          <w:rFonts w:cs="Arial"/>
          <w:sz w:val="24"/>
          <w:szCs w:val="24"/>
        </w:rPr>
        <w:footnoteReference w:id="89"/>
      </w:r>
    </w:p>
    <w:p w14:paraId="4103564E" w14:textId="77777777" w:rsidR="00694866" w:rsidRPr="000844FE" w:rsidRDefault="00694866" w:rsidP="000844FE">
      <w:pPr>
        <w:pStyle w:val="ListParagraph"/>
        <w:rPr>
          <w:rFonts w:cs="Arial"/>
          <w:szCs w:val="24"/>
        </w:rPr>
      </w:pPr>
    </w:p>
    <w:p w14:paraId="326528F0" w14:textId="65B1D5B3" w:rsidR="00B51875" w:rsidRPr="000844FE" w:rsidRDefault="00694866" w:rsidP="004B1583">
      <w:pPr>
        <w:pStyle w:val="ListParagraph"/>
        <w:numPr>
          <w:ilvl w:val="1"/>
          <w:numId w:val="35"/>
        </w:numPr>
        <w:ind w:left="1134" w:hanging="567"/>
        <w:rPr>
          <w:rFonts w:cs="Arial"/>
          <w:szCs w:val="24"/>
        </w:rPr>
      </w:pPr>
      <w:r w:rsidRPr="000844FE">
        <w:rPr>
          <w:rFonts w:cs="Arial"/>
          <w:szCs w:val="24"/>
        </w:rPr>
        <w:t>Invest in building the capacity of social services</w:t>
      </w:r>
      <w:r w:rsidR="008F49B6" w:rsidRPr="000844FE">
        <w:rPr>
          <w:rFonts w:cs="Arial"/>
          <w:szCs w:val="24"/>
        </w:rPr>
        <w:t xml:space="preserve"> on local (municipality) level</w:t>
      </w:r>
      <w:r w:rsidRPr="000844FE">
        <w:rPr>
          <w:rFonts w:cs="Arial"/>
          <w:szCs w:val="24"/>
        </w:rPr>
        <w:t>, including recruitment, ongoing professional training, early intervention services and improved information management</w:t>
      </w:r>
      <w:r w:rsidR="004A0FA1" w:rsidRPr="000844FE">
        <w:rPr>
          <w:rFonts w:cs="Arial"/>
          <w:szCs w:val="24"/>
        </w:rPr>
        <w:t xml:space="preserve"> systems</w:t>
      </w:r>
      <w:r w:rsidR="00F36091">
        <w:rPr>
          <w:rFonts w:cs="Arial"/>
          <w:szCs w:val="24"/>
        </w:rPr>
        <w:t>.</w:t>
      </w:r>
      <w:r w:rsidR="004A1388" w:rsidRPr="000844FE">
        <w:rPr>
          <w:rStyle w:val="FootnoteReference"/>
          <w:rFonts w:cs="Arial"/>
          <w:sz w:val="24"/>
          <w:szCs w:val="24"/>
        </w:rPr>
        <w:footnoteReference w:id="90"/>
      </w:r>
    </w:p>
    <w:p w14:paraId="547694BC" w14:textId="77777777" w:rsidR="00B51875" w:rsidRPr="000844FE" w:rsidRDefault="00B51875" w:rsidP="000844FE">
      <w:pPr>
        <w:pStyle w:val="ListParagraph"/>
        <w:rPr>
          <w:rFonts w:cs="Arial"/>
          <w:szCs w:val="24"/>
        </w:rPr>
      </w:pPr>
    </w:p>
    <w:p w14:paraId="1EF996AD" w14:textId="710A3ACB" w:rsidR="00C07100" w:rsidRPr="000844FE" w:rsidRDefault="00B51875" w:rsidP="004B1583">
      <w:pPr>
        <w:pStyle w:val="ListParagraph"/>
        <w:numPr>
          <w:ilvl w:val="1"/>
          <w:numId w:val="35"/>
        </w:numPr>
        <w:ind w:left="1134" w:hanging="567"/>
        <w:rPr>
          <w:rFonts w:cs="Arial"/>
          <w:szCs w:val="24"/>
        </w:rPr>
      </w:pPr>
      <w:r w:rsidRPr="000844FE">
        <w:rPr>
          <w:rFonts w:cs="Arial"/>
          <w:szCs w:val="24"/>
        </w:rPr>
        <w:t>Consolidate state commitment to de-institutionalisation through a dedicated strategy and ac</w:t>
      </w:r>
      <w:r w:rsidR="00C437BB" w:rsidRPr="000844FE">
        <w:rPr>
          <w:rFonts w:cs="Arial"/>
          <w:szCs w:val="24"/>
        </w:rPr>
        <w:t xml:space="preserve">tion plan, which will elaborate </w:t>
      </w:r>
      <w:r w:rsidR="00BD2717" w:rsidRPr="000844FE">
        <w:rPr>
          <w:rFonts w:cs="Arial"/>
          <w:szCs w:val="24"/>
        </w:rPr>
        <w:t xml:space="preserve">approach, </w:t>
      </w:r>
      <w:r w:rsidR="00C437BB" w:rsidRPr="000844FE">
        <w:rPr>
          <w:rFonts w:cs="Arial"/>
          <w:szCs w:val="24"/>
        </w:rPr>
        <w:t>actions</w:t>
      </w:r>
      <w:r w:rsidR="00BD2717" w:rsidRPr="000844FE">
        <w:rPr>
          <w:rFonts w:cs="Arial"/>
          <w:szCs w:val="24"/>
        </w:rPr>
        <w:t xml:space="preserve"> and measures</w:t>
      </w:r>
      <w:r w:rsidR="00C437BB" w:rsidRPr="000844FE">
        <w:rPr>
          <w:rFonts w:cs="Arial"/>
          <w:szCs w:val="24"/>
        </w:rPr>
        <w:t xml:space="preserve"> needed to materialise the </w:t>
      </w:r>
      <w:r w:rsidR="00400332" w:rsidRPr="000844FE">
        <w:rPr>
          <w:rFonts w:cs="Arial"/>
          <w:szCs w:val="24"/>
        </w:rPr>
        <w:t>closure of long-stay institutions and the</w:t>
      </w:r>
      <w:r w:rsidR="00C437BB" w:rsidRPr="000844FE">
        <w:rPr>
          <w:rFonts w:cs="Arial"/>
          <w:szCs w:val="24"/>
        </w:rPr>
        <w:t xml:space="preserve"> expansion of </w:t>
      </w:r>
      <w:r w:rsidR="00F50E2F" w:rsidRPr="000844FE">
        <w:rPr>
          <w:rFonts w:cs="Arial"/>
          <w:szCs w:val="24"/>
        </w:rPr>
        <w:t>community-based</w:t>
      </w:r>
      <w:r w:rsidR="00C437BB" w:rsidRPr="000844FE">
        <w:rPr>
          <w:rFonts w:cs="Arial"/>
          <w:szCs w:val="24"/>
        </w:rPr>
        <w:t xml:space="preserve"> services</w:t>
      </w:r>
      <w:r w:rsidR="000464F7" w:rsidRPr="000844FE">
        <w:rPr>
          <w:rFonts w:cs="Arial"/>
          <w:szCs w:val="24"/>
        </w:rPr>
        <w:t xml:space="preserve">, </w:t>
      </w:r>
      <w:r w:rsidR="00BD2717" w:rsidRPr="000844FE">
        <w:rPr>
          <w:rFonts w:cs="Arial"/>
          <w:szCs w:val="24"/>
        </w:rPr>
        <w:t>such as</w:t>
      </w:r>
      <w:r w:rsidR="000464F7" w:rsidRPr="000844FE">
        <w:rPr>
          <w:rFonts w:cs="Arial"/>
          <w:szCs w:val="24"/>
        </w:rPr>
        <w:t xml:space="preserve"> the current model of Supported Living Shelters</w:t>
      </w:r>
      <w:r w:rsidR="00061CBD" w:rsidRPr="000844FE">
        <w:rPr>
          <w:rFonts w:cs="Arial"/>
          <w:szCs w:val="24"/>
        </w:rPr>
        <w:t>. This should be developed a</w:t>
      </w:r>
      <w:r w:rsidR="00576847" w:rsidRPr="000844FE">
        <w:rPr>
          <w:rFonts w:cs="Arial"/>
          <w:szCs w:val="24"/>
        </w:rPr>
        <w:t>s a practical tool/ guidance to promote and facilitate</w:t>
      </w:r>
      <w:r w:rsidR="00061CBD" w:rsidRPr="000844FE">
        <w:rPr>
          <w:rFonts w:cs="Arial"/>
          <w:szCs w:val="24"/>
        </w:rPr>
        <w:t xml:space="preserve"> the </w:t>
      </w:r>
      <w:r w:rsidR="00576847" w:rsidRPr="000844FE">
        <w:rPr>
          <w:rFonts w:cs="Arial"/>
          <w:szCs w:val="24"/>
        </w:rPr>
        <w:t xml:space="preserve">design and </w:t>
      </w:r>
      <w:r w:rsidR="00061CBD" w:rsidRPr="000844FE">
        <w:rPr>
          <w:rFonts w:cs="Arial"/>
          <w:szCs w:val="24"/>
        </w:rPr>
        <w:t>implementation</w:t>
      </w:r>
      <w:r w:rsidR="00576847" w:rsidRPr="000844FE">
        <w:rPr>
          <w:rFonts w:cs="Arial"/>
          <w:szCs w:val="24"/>
        </w:rPr>
        <w:t xml:space="preserve"> of relevant calls for proposals under the 13 Regional Operational Programs.</w:t>
      </w:r>
      <w:r w:rsidR="00DE0B12">
        <w:rPr>
          <w:rFonts w:cs="Arial"/>
          <w:szCs w:val="24"/>
        </w:rPr>
        <w:t xml:space="preserve">  </w:t>
      </w:r>
      <w:r w:rsidR="00C07100" w:rsidRPr="000844FE">
        <w:rPr>
          <w:rFonts w:cs="Arial"/>
          <w:szCs w:val="24"/>
        </w:rPr>
        <w:t xml:space="preserve"> </w:t>
      </w:r>
    </w:p>
    <w:p w14:paraId="540A706F" w14:textId="7F266E5D" w:rsidR="00C07100" w:rsidRDefault="00C07100" w:rsidP="000844FE">
      <w:pPr>
        <w:rPr>
          <w:rFonts w:cs="Arial"/>
          <w:b/>
          <w:szCs w:val="24"/>
        </w:rPr>
      </w:pPr>
    </w:p>
    <w:p w14:paraId="0064EDC9" w14:textId="3B02DF35" w:rsidR="0017733F" w:rsidRDefault="0017733F" w:rsidP="000844FE">
      <w:pPr>
        <w:rPr>
          <w:rFonts w:cs="Arial"/>
          <w:b/>
          <w:szCs w:val="24"/>
        </w:rPr>
      </w:pPr>
    </w:p>
    <w:p w14:paraId="7839CE04" w14:textId="77777777" w:rsidR="0017733F" w:rsidRPr="000844FE" w:rsidRDefault="0017733F" w:rsidP="000844FE">
      <w:pPr>
        <w:rPr>
          <w:rFonts w:cs="Arial"/>
          <w:b/>
          <w:szCs w:val="24"/>
        </w:rPr>
      </w:pPr>
    </w:p>
    <w:p w14:paraId="288A69A8" w14:textId="7D42E129" w:rsidR="00B15DCC" w:rsidRDefault="00BD2717" w:rsidP="004B1583">
      <w:pPr>
        <w:pStyle w:val="ListParagraph"/>
        <w:numPr>
          <w:ilvl w:val="0"/>
          <w:numId w:val="35"/>
        </w:numPr>
        <w:ind w:left="567" w:hanging="567"/>
        <w:rPr>
          <w:rFonts w:cs="Arial"/>
          <w:b/>
          <w:szCs w:val="24"/>
        </w:rPr>
      </w:pPr>
      <w:r w:rsidRPr="000844FE">
        <w:rPr>
          <w:rFonts w:cs="Arial"/>
          <w:b/>
          <w:szCs w:val="24"/>
        </w:rPr>
        <w:lastRenderedPageBreak/>
        <w:t xml:space="preserve">Implementation, monitoring and evaluation of </w:t>
      </w:r>
      <w:r w:rsidR="00B15DCC" w:rsidRPr="000844FE">
        <w:rPr>
          <w:rFonts w:cs="Arial"/>
          <w:b/>
          <w:szCs w:val="24"/>
        </w:rPr>
        <w:t xml:space="preserve">transition from institutions to </w:t>
      </w:r>
      <w:r w:rsidR="00F50E2F" w:rsidRPr="000844FE">
        <w:rPr>
          <w:rFonts w:cs="Arial"/>
          <w:b/>
          <w:szCs w:val="24"/>
        </w:rPr>
        <w:t>community-based</w:t>
      </w:r>
      <w:r w:rsidR="00B15DCC" w:rsidRPr="000844FE">
        <w:rPr>
          <w:rFonts w:cs="Arial"/>
          <w:b/>
          <w:szCs w:val="24"/>
        </w:rPr>
        <w:t xml:space="preserve"> support</w:t>
      </w:r>
      <w:r w:rsidR="00C07100" w:rsidRPr="000844FE">
        <w:rPr>
          <w:rFonts w:cs="Arial"/>
          <w:b/>
          <w:szCs w:val="24"/>
        </w:rPr>
        <w:t xml:space="preserve"> </w:t>
      </w:r>
      <w:r w:rsidRPr="000844FE">
        <w:rPr>
          <w:rFonts w:cs="Arial"/>
          <w:b/>
          <w:szCs w:val="24"/>
        </w:rPr>
        <w:t>(including ESF/ERDF projects)</w:t>
      </w:r>
    </w:p>
    <w:p w14:paraId="3FAE346B" w14:textId="77777777" w:rsidR="004B1583" w:rsidRPr="004B1583" w:rsidRDefault="004B1583" w:rsidP="004B1583">
      <w:pPr>
        <w:rPr>
          <w:rFonts w:cs="Arial"/>
          <w:b/>
          <w:szCs w:val="24"/>
        </w:rPr>
      </w:pPr>
    </w:p>
    <w:p w14:paraId="55F00D51" w14:textId="7D558932" w:rsidR="00C07100" w:rsidRPr="000844FE" w:rsidRDefault="005E2842" w:rsidP="004B1583">
      <w:pPr>
        <w:pStyle w:val="ListParagraph"/>
        <w:numPr>
          <w:ilvl w:val="1"/>
          <w:numId w:val="35"/>
        </w:numPr>
        <w:ind w:left="1134" w:hanging="567"/>
        <w:rPr>
          <w:rFonts w:cs="Arial"/>
          <w:szCs w:val="24"/>
        </w:rPr>
      </w:pPr>
      <w:r w:rsidRPr="000844FE">
        <w:rPr>
          <w:rFonts w:cs="Arial"/>
          <w:szCs w:val="24"/>
        </w:rPr>
        <w:t xml:space="preserve">Overcome any issues which potentially relate to the unjustified delay of the implementation of the </w:t>
      </w:r>
      <w:r w:rsidR="006E4CEA" w:rsidRPr="000844FE">
        <w:rPr>
          <w:rFonts w:cs="Arial"/>
          <w:szCs w:val="24"/>
        </w:rPr>
        <w:t>(</w:t>
      </w:r>
      <w:r w:rsidRPr="000844FE">
        <w:rPr>
          <w:rFonts w:cs="Arial"/>
          <w:szCs w:val="24"/>
        </w:rPr>
        <w:t>only</w:t>
      </w:r>
      <w:r w:rsidR="006E4CEA" w:rsidRPr="000844FE">
        <w:rPr>
          <w:rFonts w:cs="Arial"/>
          <w:szCs w:val="24"/>
        </w:rPr>
        <w:t>)</w:t>
      </w:r>
      <w:r w:rsidR="004A0FA1" w:rsidRPr="000844FE">
        <w:rPr>
          <w:rFonts w:cs="Arial"/>
          <w:szCs w:val="24"/>
        </w:rPr>
        <w:t xml:space="preserve"> project approved</w:t>
      </w:r>
      <w:r w:rsidRPr="000844FE">
        <w:rPr>
          <w:rFonts w:cs="Arial"/>
          <w:szCs w:val="24"/>
        </w:rPr>
        <w:t xml:space="preserve"> </w:t>
      </w:r>
      <w:r w:rsidR="004A0FA1" w:rsidRPr="000844FE">
        <w:rPr>
          <w:rFonts w:cs="Arial"/>
          <w:szCs w:val="24"/>
        </w:rPr>
        <w:t>currently for</w:t>
      </w:r>
      <w:r w:rsidRPr="000844FE">
        <w:rPr>
          <w:rFonts w:cs="Arial"/>
          <w:szCs w:val="24"/>
        </w:rPr>
        <w:t xml:space="preserve"> the </w:t>
      </w:r>
      <w:r w:rsidR="00C07100" w:rsidRPr="000844FE">
        <w:rPr>
          <w:rFonts w:cs="Arial"/>
          <w:szCs w:val="24"/>
        </w:rPr>
        <w:t>closure of long-stay residential institutions</w:t>
      </w:r>
      <w:r w:rsidRPr="000844FE">
        <w:rPr>
          <w:rFonts w:cs="Arial"/>
          <w:szCs w:val="24"/>
        </w:rPr>
        <w:t xml:space="preserve"> and resettlement of </w:t>
      </w:r>
      <w:r w:rsidR="004A0FA1" w:rsidRPr="000844FE">
        <w:rPr>
          <w:rFonts w:cs="Arial"/>
          <w:szCs w:val="24"/>
        </w:rPr>
        <w:t xml:space="preserve">disabled </w:t>
      </w:r>
      <w:r w:rsidRPr="000844FE">
        <w:rPr>
          <w:rFonts w:cs="Arial"/>
          <w:szCs w:val="24"/>
        </w:rPr>
        <w:t>residents to community-based residential support services</w:t>
      </w:r>
      <w:r w:rsidR="006E4CEA" w:rsidRPr="000844FE">
        <w:rPr>
          <w:rFonts w:cs="Arial"/>
          <w:szCs w:val="24"/>
        </w:rPr>
        <w:t xml:space="preserve"> in the regions of Attika and Western Greece</w:t>
      </w:r>
      <w:r w:rsidRPr="000844FE">
        <w:rPr>
          <w:rFonts w:cs="Arial"/>
          <w:szCs w:val="24"/>
        </w:rPr>
        <w:t>.</w:t>
      </w:r>
    </w:p>
    <w:p w14:paraId="27F21F25" w14:textId="67DE77FA" w:rsidR="006047A3" w:rsidRPr="000844FE" w:rsidRDefault="00B51875" w:rsidP="000844FE">
      <w:pPr>
        <w:pStyle w:val="ListParagraph"/>
        <w:ind w:left="360"/>
        <w:rPr>
          <w:rFonts w:cs="Arial"/>
          <w:b/>
          <w:szCs w:val="24"/>
        </w:rPr>
      </w:pPr>
      <w:r w:rsidRPr="000844FE">
        <w:rPr>
          <w:rFonts w:cs="Arial"/>
          <w:szCs w:val="24"/>
        </w:rPr>
        <w:t xml:space="preserve"> </w:t>
      </w:r>
    </w:p>
    <w:p w14:paraId="1EB1C7A9" w14:textId="24512E0D" w:rsidR="00BD2717" w:rsidRPr="000844FE" w:rsidRDefault="00BD2717" w:rsidP="004B1583">
      <w:pPr>
        <w:pStyle w:val="ListParagraph"/>
        <w:numPr>
          <w:ilvl w:val="1"/>
          <w:numId w:val="35"/>
        </w:numPr>
        <w:ind w:left="1134" w:hanging="567"/>
        <w:rPr>
          <w:rFonts w:cs="Arial"/>
          <w:szCs w:val="24"/>
        </w:rPr>
      </w:pPr>
      <w:r w:rsidRPr="000844FE">
        <w:rPr>
          <w:rFonts w:cs="Arial"/>
          <w:szCs w:val="24"/>
        </w:rPr>
        <w:t>Map the kind of services and number of beneficiaries supported by the current day care disability services across regions and assess any gaps in reaching disabled children/adults on local level.</w:t>
      </w:r>
    </w:p>
    <w:p w14:paraId="3AD290C8" w14:textId="77777777" w:rsidR="00BD2717" w:rsidRPr="000844FE" w:rsidRDefault="00BD2717" w:rsidP="000844FE">
      <w:pPr>
        <w:pStyle w:val="ListParagraph"/>
        <w:rPr>
          <w:rFonts w:cs="Arial"/>
          <w:szCs w:val="24"/>
        </w:rPr>
      </w:pPr>
    </w:p>
    <w:p w14:paraId="0A5EA23C" w14:textId="38289312" w:rsidR="000464F7" w:rsidRPr="000844FE" w:rsidRDefault="006047A3" w:rsidP="004B1583">
      <w:pPr>
        <w:pStyle w:val="ListParagraph"/>
        <w:numPr>
          <w:ilvl w:val="1"/>
          <w:numId w:val="35"/>
        </w:numPr>
        <w:ind w:left="1134" w:hanging="567"/>
        <w:rPr>
          <w:rStyle w:val="FootnoteReference"/>
          <w:rFonts w:cs="Arial"/>
          <w:sz w:val="24"/>
          <w:szCs w:val="24"/>
          <w:vertAlign w:val="baseline"/>
        </w:rPr>
      </w:pPr>
      <w:r w:rsidRPr="000844FE">
        <w:rPr>
          <w:rFonts w:cs="Arial"/>
          <w:szCs w:val="24"/>
        </w:rPr>
        <w:t>Develop</w:t>
      </w:r>
      <w:r w:rsidR="007D5983" w:rsidRPr="000844FE">
        <w:rPr>
          <w:rFonts w:cs="Arial"/>
          <w:szCs w:val="24"/>
        </w:rPr>
        <w:t xml:space="preserve"> </w:t>
      </w:r>
      <w:r w:rsidRPr="000844FE">
        <w:rPr>
          <w:rFonts w:cs="Arial"/>
          <w:szCs w:val="24"/>
        </w:rPr>
        <w:t xml:space="preserve">standards </w:t>
      </w:r>
      <w:r w:rsidR="007D5983" w:rsidRPr="000844FE">
        <w:rPr>
          <w:rFonts w:cs="Arial"/>
          <w:szCs w:val="24"/>
        </w:rPr>
        <w:t>and harmonised methodology</w:t>
      </w:r>
      <w:r w:rsidRPr="000844FE">
        <w:rPr>
          <w:rFonts w:cs="Arial"/>
          <w:szCs w:val="24"/>
        </w:rPr>
        <w:t xml:space="preserve"> for measuring outcome indicators related to </w:t>
      </w:r>
      <w:r w:rsidR="007D5983" w:rsidRPr="000844FE">
        <w:rPr>
          <w:rFonts w:cs="Arial"/>
          <w:szCs w:val="24"/>
        </w:rPr>
        <w:t>high quality, individualised services in the community</w:t>
      </w:r>
      <w:r w:rsidRPr="000844FE">
        <w:rPr>
          <w:rFonts w:cs="Arial"/>
          <w:szCs w:val="24"/>
        </w:rPr>
        <w:t xml:space="preserve">, aligned with UN CRPD standards and the </w:t>
      </w:r>
      <w:r w:rsidR="007D5983" w:rsidRPr="000844FE">
        <w:rPr>
          <w:rFonts w:cs="Arial"/>
          <w:szCs w:val="24"/>
        </w:rPr>
        <w:t>European Expert Group on the Transition from Institutional to Community-based Care</w:t>
      </w:r>
      <w:r w:rsidR="0017733F">
        <w:rPr>
          <w:rFonts w:cs="Arial"/>
          <w:szCs w:val="24"/>
        </w:rPr>
        <w:t>.</w:t>
      </w:r>
      <w:r w:rsidR="007D5983" w:rsidRPr="000844FE">
        <w:rPr>
          <w:rStyle w:val="FootnoteReference"/>
          <w:rFonts w:cs="Arial"/>
          <w:sz w:val="24"/>
          <w:szCs w:val="24"/>
        </w:rPr>
        <w:footnoteReference w:id="91"/>
      </w:r>
      <w:r w:rsidR="00DE0B12">
        <w:rPr>
          <w:rStyle w:val="FootnoteReference"/>
          <w:rFonts w:cs="Arial"/>
          <w:sz w:val="24"/>
          <w:szCs w:val="24"/>
        </w:rPr>
        <w:t xml:space="preserve">  </w:t>
      </w:r>
    </w:p>
    <w:p w14:paraId="3C565247" w14:textId="77777777" w:rsidR="000464F7" w:rsidRPr="000844FE" w:rsidRDefault="000464F7" w:rsidP="000844FE">
      <w:pPr>
        <w:pStyle w:val="ListParagraph"/>
        <w:ind w:left="360"/>
        <w:rPr>
          <w:rStyle w:val="FootnoteReference"/>
          <w:rFonts w:cs="Arial"/>
          <w:sz w:val="24"/>
          <w:szCs w:val="24"/>
          <w:vertAlign w:val="baseline"/>
        </w:rPr>
      </w:pPr>
    </w:p>
    <w:p w14:paraId="4DB6742E" w14:textId="046DB82A" w:rsidR="00B768D2" w:rsidRPr="000844FE" w:rsidRDefault="00B768D2" w:rsidP="004B1583">
      <w:pPr>
        <w:pStyle w:val="ListParagraph"/>
        <w:numPr>
          <w:ilvl w:val="1"/>
          <w:numId w:val="35"/>
        </w:numPr>
        <w:ind w:left="1134" w:hanging="567"/>
        <w:rPr>
          <w:rFonts w:cs="Arial"/>
          <w:szCs w:val="24"/>
        </w:rPr>
      </w:pPr>
      <w:r w:rsidRPr="000844FE">
        <w:rPr>
          <w:rFonts w:cs="Arial"/>
          <w:szCs w:val="24"/>
        </w:rPr>
        <w:t>Channel</w:t>
      </w:r>
      <w:r w:rsidR="00AA46F9" w:rsidRPr="000844FE">
        <w:rPr>
          <w:rFonts w:cs="Arial"/>
          <w:szCs w:val="24"/>
        </w:rPr>
        <w:t xml:space="preserve"> funding resources, including </w:t>
      </w:r>
      <w:r w:rsidR="00C66A71" w:rsidRPr="000844FE">
        <w:rPr>
          <w:rFonts w:cs="Arial"/>
          <w:szCs w:val="24"/>
        </w:rPr>
        <w:t xml:space="preserve">resources available </w:t>
      </w:r>
      <w:r w:rsidR="00AA46F9" w:rsidRPr="000844FE">
        <w:rPr>
          <w:rFonts w:cs="Arial"/>
          <w:szCs w:val="24"/>
        </w:rPr>
        <w:t>by the National Disability Observatory</w:t>
      </w:r>
      <w:r w:rsidR="00C66A71" w:rsidRPr="000844FE">
        <w:rPr>
          <w:rFonts w:cs="Arial"/>
          <w:szCs w:val="24"/>
        </w:rPr>
        <w:t>,</w:t>
      </w:r>
      <w:r w:rsidR="00AA46F9" w:rsidRPr="000844FE">
        <w:rPr>
          <w:rFonts w:cs="Arial"/>
          <w:szCs w:val="24"/>
        </w:rPr>
        <w:t xml:space="preserve"> </w:t>
      </w:r>
      <w:r w:rsidRPr="000844FE">
        <w:rPr>
          <w:rFonts w:cs="Arial"/>
          <w:szCs w:val="24"/>
        </w:rPr>
        <w:t xml:space="preserve">for participatory </w:t>
      </w:r>
      <w:r w:rsidR="00AA46F9" w:rsidRPr="000844FE">
        <w:rPr>
          <w:rFonts w:cs="Arial"/>
          <w:szCs w:val="24"/>
        </w:rPr>
        <w:t xml:space="preserve">evaluations/ research to build evidence on access to </w:t>
      </w:r>
      <w:r w:rsidR="00F50E2F" w:rsidRPr="000844FE">
        <w:rPr>
          <w:rFonts w:cs="Arial"/>
          <w:szCs w:val="24"/>
        </w:rPr>
        <w:t>community-based</w:t>
      </w:r>
      <w:r w:rsidR="007B2963" w:rsidRPr="000844FE">
        <w:rPr>
          <w:rFonts w:cs="Arial"/>
          <w:szCs w:val="24"/>
        </w:rPr>
        <w:t xml:space="preserve"> services, </w:t>
      </w:r>
      <w:r w:rsidR="00AA46F9" w:rsidRPr="000844FE">
        <w:rPr>
          <w:rFonts w:cs="Arial"/>
          <w:szCs w:val="24"/>
        </w:rPr>
        <w:t>quality of service provision</w:t>
      </w:r>
      <w:r w:rsidR="007B2963" w:rsidRPr="000844FE">
        <w:rPr>
          <w:rFonts w:cs="Arial"/>
          <w:szCs w:val="24"/>
        </w:rPr>
        <w:t xml:space="preserve"> and level of involvement</w:t>
      </w:r>
      <w:r w:rsidR="00C07100" w:rsidRPr="000844FE">
        <w:rPr>
          <w:rFonts w:cs="Arial"/>
          <w:szCs w:val="24"/>
        </w:rPr>
        <w:t>,</w:t>
      </w:r>
      <w:r w:rsidR="002407D8" w:rsidRPr="000844FE">
        <w:rPr>
          <w:rFonts w:cs="Arial"/>
          <w:szCs w:val="24"/>
        </w:rPr>
        <w:t xml:space="preserve"> as perceived by disabled adults, children and youth</w:t>
      </w:r>
      <w:r w:rsidR="000F77D8" w:rsidRPr="000844FE">
        <w:rPr>
          <w:rFonts w:cs="Arial"/>
          <w:szCs w:val="24"/>
        </w:rPr>
        <w:t xml:space="preserve"> and in line with the UN CRPD principles</w:t>
      </w:r>
      <w:r w:rsidR="002407D8" w:rsidRPr="000844FE">
        <w:rPr>
          <w:rFonts w:cs="Arial"/>
          <w:szCs w:val="24"/>
        </w:rPr>
        <w:t>.</w:t>
      </w:r>
      <w:r w:rsidR="00DE0B12">
        <w:rPr>
          <w:rFonts w:cs="Arial"/>
          <w:szCs w:val="24"/>
        </w:rPr>
        <w:t xml:space="preserve"> </w:t>
      </w:r>
    </w:p>
    <w:p w14:paraId="257D1690" w14:textId="77777777" w:rsidR="00B768D2" w:rsidRPr="000844FE" w:rsidRDefault="00B768D2" w:rsidP="000844FE">
      <w:pPr>
        <w:rPr>
          <w:rFonts w:cs="Arial"/>
          <w:szCs w:val="24"/>
        </w:rPr>
      </w:pPr>
    </w:p>
    <w:sectPr w:rsidR="00B768D2" w:rsidRPr="000844FE" w:rsidSect="00A75929">
      <w:headerReference w:type="default" r:id="rId8"/>
      <w:footerReference w:type="default" r:id="rId9"/>
      <w:pgSz w:w="11899" w:h="16838" w:code="9"/>
      <w:pgMar w:top="1560" w:right="1418" w:bottom="1418" w:left="1418" w:header="0" w:footer="41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F213" w14:textId="77777777" w:rsidR="005B1FE7" w:rsidRDefault="005B1FE7" w:rsidP="00D9246D">
      <w:r>
        <w:separator/>
      </w:r>
    </w:p>
  </w:endnote>
  <w:endnote w:type="continuationSeparator" w:id="0">
    <w:p w14:paraId="6250763C" w14:textId="77777777" w:rsidR="005B1FE7" w:rsidRDefault="005B1FE7" w:rsidP="00D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357856"/>
      <w:docPartObj>
        <w:docPartGallery w:val="Page Numbers (Bottom of Page)"/>
        <w:docPartUnique/>
      </w:docPartObj>
    </w:sdtPr>
    <w:sdtEndPr>
      <w:rPr>
        <w:noProof/>
      </w:rPr>
    </w:sdtEndPr>
    <w:sdtContent>
      <w:p w14:paraId="2D48AE57" w14:textId="32121665" w:rsidR="005B1FE7" w:rsidRDefault="005B1FE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7884" w14:textId="77777777" w:rsidR="005B1FE7" w:rsidRDefault="005B1FE7" w:rsidP="00D9246D">
      <w:r>
        <w:separator/>
      </w:r>
    </w:p>
  </w:footnote>
  <w:footnote w:type="continuationSeparator" w:id="0">
    <w:p w14:paraId="54C5329E" w14:textId="77777777" w:rsidR="005B1FE7" w:rsidRDefault="005B1FE7" w:rsidP="00D9246D">
      <w:r>
        <w:continuationSeparator/>
      </w:r>
    </w:p>
  </w:footnote>
  <w:footnote w:id="1">
    <w:p w14:paraId="152FEFF6" w14:textId="2A022F90"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(p.1) </w:t>
      </w:r>
      <w:hyperlink r:id="rId1" w:history="1">
        <w:r w:rsidRPr="00C105A4">
          <w:rPr>
            <w:rStyle w:val="Hyperlink"/>
          </w:rPr>
          <w:t>http://www.statistics.gr/el/statistics/-/publication/SHE27/2017</w:t>
        </w:r>
      </w:hyperlink>
      <w:r w:rsidRPr="00C105A4">
        <w:rPr>
          <w:rStyle w:val="Hyperlink"/>
          <w:color w:val="auto"/>
          <w:u w:val="none"/>
        </w:rPr>
        <w:t>.</w:t>
      </w:r>
      <w:r w:rsidRPr="00F50E2F">
        <w:rPr>
          <w:rFonts w:cs="Arial"/>
        </w:rPr>
        <w:t xml:space="preserve"> </w:t>
      </w:r>
    </w:p>
  </w:footnote>
  <w:footnote w:id="2">
    <w:p w14:paraId="40A92E75" w14:textId="3BD40C88"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Table 3 (p.4). </w:t>
      </w:r>
    </w:p>
  </w:footnote>
  <w:footnote w:id="3">
    <w:p w14:paraId="78D6CBB1" w14:textId="5DA07070"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Institute of Child Health (2017) The child institutional abuse: current knowledge and practices Greece Report SASCA Research Project.</w:t>
      </w:r>
    </w:p>
  </w:footnote>
  <w:footnote w:id="4">
    <w:p w14:paraId="02B4845C" w14:textId="7F311E73"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Greek Ombudsman (March 2015). Special Report - The rights of children who reside in institutions: Findings and recommendations of the Independent Authority “the Greek Ombudsman” on the function of the child protection institutions: </w:t>
      </w:r>
      <w:hyperlink r:id="rId2" w:history="1">
        <w:r w:rsidRPr="00F50E2F">
          <w:rPr>
            <w:rStyle w:val="Hyperlink"/>
            <w:rFonts w:cs="Arial"/>
          </w:rPr>
          <w:t>http://www.synigoros.gr/resources/docs/575568.pdf</w:t>
        </w:r>
      </w:hyperlink>
      <w:r w:rsidRPr="00F50E2F">
        <w:rPr>
          <w:rFonts w:cs="Arial"/>
        </w:rPr>
        <w:t xml:space="preserve">. </w:t>
      </w:r>
    </w:p>
  </w:footnote>
  <w:footnote w:id="5">
    <w:p w14:paraId="58BFF8C3" w14:textId="75A9204A"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proofErr w:type="spellStart"/>
      <w:r w:rsidRPr="00F50E2F">
        <w:rPr>
          <w:rFonts w:cs="Arial"/>
        </w:rPr>
        <w:t>Nanou</w:t>
      </w:r>
      <w:proofErr w:type="spellEnd"/>
      <w:r w:rsidRPr="00F50E2F">
        <w:rPr>
          <w:rFonts w:cs="Arial"/>
        </w:rPr>
        <w:t xml:space="preserve">, Ι. (2015). Mapping institutional and residential care for children in Greece. Athens: Roots Research </w:t>
      </w:r>
      <w:r w:rsidR="00F50E2F" w:rsidRPr="00F50E2F">
        <w:rPr>
          <w:rFonts w:cs="Arial"/>
        </w:rPr>
        <w:t>Centre</w:t>
      </w:r>
      <w:r w:rsidRPr="00F50E2F">
        <w:rPr>
          <w:rFonts w:cs="Arial"/>
        </w:rPr>
        <w:t xml:space="preserve"> cited in Lumos (2016) Strategic Review of the situation of vulnerable children in Greece Executive Summary.</w:t>
      </w:r>
    </w:p>
  </w:footnote>
  <w:footnote w:id="6">
    <w:p w14:paraId="2C5B0805" w14:textId="40AD443C"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Greek NGO’s Network for Children Rights Convention, (2011) Non-Governmental organisation’s report in application of the United Nations Convention on the rights of the child p. 12.</w:t>
      </w:r>
    </w:p>
  </w:footnote>
  <w:footnote w:id="7">
    <w:p w14:paraId="4268EF56" w14:textId="6A237EA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Six out of the 13 administrative regions in the country lack such options entirely EYSEKT (2017).</w:t>
      </w:r>
    </w:p>
  </w:footnote>
  <w:footnote w:id="8">
    <w:p w14:paraId="4EB28B6F" w14:textId="58451466"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EYSEKT (2017) Study for the Support Living Shelters in ESIF 2014-2020 p. 18 </w:t>
      </w:r>
      <w:hyperlink r:id="rId3" w:history="1">
        <w:r w:rsidRPr="00F50E2F">
          <w:rPr>
            <w:rStyle w:val="Hyperlink"/>
            <w:rFonts w:cs="Arial"/>
          </w:rPr>
          <w:t>http://www.esfhellas.gr/el/Pages/eLibraryFS.aspx?item=2087</w:t>
        </w:r>
      </w:hyperlink>
      <w:r w:rsidRPr="00F50E2F">
        <w:rPr>
          <w:rFonts w:cs="Arial"/>
        </w:rPr>
        <w:t xml:space="preserve">. </w:t>
      </w:r>
    </w:p>
  </w:footnote>
  <w:footnote w:id="9">
    <w:p w14:paraId="329C0F52" w14:textId="5C75D942"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 19 based on data from the Ministry of Health, Disability Department in 2011 where the number of persons with intellectual disabilities was just over 18,000 (Table 9).</w:t>
      </w:r>
    </w:p>
  </w:footnote>
  <w:footnote w:id="10">
    <w:p w14:paraId="4E61BB1F" w14:textId="53DA265B"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(p.1).</w:t>
      </w:r>
    </w:p>
  </w:footnote>
  <w:footnote w:id="11">
    <w:p w14:paraId="71B5B56C" w14:textId="2063ED0A"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(p.1) (reference to Table 3, Graph 4). </w:t>
      </w:r>
    </w:p>
  </w:footnote>
  <w:footnote w:id="12">
    <w:p w14:paraId="62FDD2D7" w14:textId="150DFF42"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Table 3 (p.4). </w:t>
      </w:r>
    </w:p>
  </w:footnote>
  <w:footnote w:id="13">
    <w:p w14:paraId="3E8E5D72" w14:textId="75240823"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Table 3 (p.4) Please note the major reduction noted since 2015 (-46 %) is rather in the category of “other public entities” which are not however identified. </w:t>
      </w:r>
    </w:p>
  </w:footnote>
  <w:footnote w:id="14">
    <w:p w14:paraId="1789F19E" w14:textId="79DEB68A"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Health Provision Regulations 2012 Government Gazette 3054/B/2012 Art. 14.</w:t>
      </w:r>
    </w:p>
  </w:footnote>
  <w:footnote w:id="15">
    <w:p w14:paraId="7E2D566E" w14:textId="31C97099"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National Statistical Service (2017) (Press Release) </w:t>
      </w:r>
      <w:r w:rsidRPr="00F50E2F">
        <w:rPr>
          <w:rFonts w:cs="Arial"/>
          <w:i/>
        </w:rPr>
        <w:t>Monitoring of Units for Social Care and Protection</w:t>
      </w:r>
      <w:r w:rsidRPr="00F50E2F">
        <w:rPr>
          <w:rFonts w:cs="Arial"/>
        </w:rPr>
        <w:t xml:space="preserve"> Table 4 (p.5).</w:t>
      </w:r>
    </w:p>
  </w:footnote>
  <w:footnote w:id="16">
    <w:p w14:paraId="5C7F2818" w14:textId="24C47B51"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p.16.</w:t>
      </w:r>
    </w:p>
  </w:footnote>
  <w:footnote w:id="17">
    <w:p w14:paraId="23FD6C68" w14:textId="3727C938"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OECD 2018 Accounting and mapping of long-term care expenditure under SHA 2011 p.2 </w:t>
      </w:r>
      <w:hyperlink r:id="rId4" w:history="1">
        <w:r w:rsidRPr="00F50E2F">
          <w:rPr>
            <w:rStyle w:val="Hyperlink"/>
            <w:rFonts w:cs="Arial"/>
          </w:rPr>
          <w:t>https://www.oecd.org/els/health-systems/AccountingMappingofLTC.pdf</w:t>
        </w:r>
      </w:hyperlink>
      <w:r w:rsidRPr="00F50E2F">
        <w:rPr>
          <w:rFonts w:cs="Arial"/>
        </w:rPr>
        <w:t>.</w:t>
      </w:r>
    </w:p>
  </w:footnote>
  <w:footnote w:id="18">
    <w:p w14:paraId="6EDCEAB8" w14:textId="3E3C6CC3" w:rsidR="005B1FE7" w:rsidRPr="00F50E2F" w:rsidRDefault="005B1FE7" w:rsidP="000844FE">
      <w:pPr>
        <w:ind w:left="284" w:hanging="284"/>
        <w:jc w:val="left"/>
        <w:rPr>
          <w:rFonts w:cs="Arial"/>
          <w:sz w:val="20"/>
        </w:rPr>
      </w:pPr>
      <w:r w:rsidRPr="00F50E2F">
        <w:rPr>
          <w:rStyle w:val="FootnoteReference"/>
          <w:rFonts w:cs="Arial"/>
        </w:rPr>
        <w:footnoteRef/>
      </w:r>
      <w:r w:rsidRPr="00F50E2F">
        <w:rPr>
          <w:rFonts w:cs="Arial"/>
          <w:sz w:val="20"/>
        </w:rPr>
        <w:t xml:space="preserve"> </w:t>
      </w:r>
      <w:r w:rsidRPr="00F50E2F">
        <w:rPr>
          <w:rFonts w:cs="Arial"/>
          <w:sz w:val="20"/>
        </w:rPr>
        <w:tab/>
        <w:t xml:space="preserve">National Statistical Service Press Release (2018) </w:t>
      </w:r>
      <w:hyperlink r:id="rId5" w:history="1">
        <w:r w:rsidRPr="00F50E2F">
          <w:rPr>
            <w:rStyle w:val="Hyperlink"/>
            <w:rFonts w:cs="Arial"/>
          </w:rPr>
          <w:t>Net Social Protection Provisions 2015</w:t>
        </w:r>
      </w:hyperlink>
      <w:r w:rsidRPr="00F50E2F">
        <w:rPr>
          <w:rFonts w:cs="Arial"/>
          <w:sz w:val="20"/>
        </w:rPr>
        <w:t xml:space="preserve"> p.5.</w:t>
      </w:r>
    </w:p>
  </w:footnote>
  <w:footnote w:id="19">
    <w:p w14:paraId="5AE70BB6" w14:textId="465C2E7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p.52.</w:t>
      </w:r>
    </w:p>
  </w:footnote>
  <w:footnote w:id="20">
    <w:p w14:paraId="7297B72C" w14:textId="2567C877"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 132.</w:t>
      </w:r>
    </w:p>
  </w:footnote>
  <w:footnote w:id="21">
    <w:p w14:paraId="24AC66C0" w14:textId="374AAB1C"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p.132.</w:t>
      </w:r>
    </w:p>
  </w:footnote>
  <w:footnote w:id="22">
    <w:p w14:paraId="5EBD603F" w14:textId="1E383C73"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National Statistical Service Press Release (2018) </w:t>
      </w:r>
      <w:hyperlink r:id="rId6" w:history="1">
        <w:r w:rsidRPr="00F50E2F">
          <w:rPr>
            <w:rStyle w:val="Hyperlink"/>
            <w:rFonts w:cs="Arial"/>
          </w:rPr>
          <w:t>Net Social Protection Provisions 2015</w:t>
        </w:r>
      </w:hyperlink>
      <w:r w:rsidRPr="00C105A4">
        <w:rPr>
          <w:rStyle w:val="Hyperlink"/>
          <w:rFonts w:cs="Arial"/>
          <w:color w:val="auto"/>
          <w:u w:val="none"/>
        </w:rPr>
        <w:t>.</w:t>
      </w:r>
    </w:p>
  </w:footnote>
  <w:footnote w:id="23">
    <w:p w14:paraId="6C9AF52D" w14:textId="696DAC8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0017733F" w:rsidRPr="00F50E2F">
        <w:rPr>
          <w:rFonts w:cs="Arial"/>
        </w:rPr>
        <w:tab/>
      </w:r>
      <w:hyperlink r:id="rId7" w:history="1">
        <w:r w:rsidR="0017733F" w:rsidRPr="00F50E2F">
          <w:rPr>
            <w:rStyle w:val="Hyperlink"/>
            <w:rFonts w:eastAsiaTheme="majorEastAsia" w:cs="Arial"/>
          </w:rPr>
          <w:t>http://www.statistics.gr/el/statistics/-/publication/SHE35/-</w:t>
        </w:r>
      </w:hyperlink>
      <w:r w:rsidR="0017733F" w:rsidRPr="00C105A4">
        <w:rPr>
          <w:rStyle w:val="Hyperlink"/>
          <w:rFonts w:eastAsiaTheme="majorEastAsia" w:cs="Arial"/>
          <w:color w:val="auto"/>
          <w:u w:val="none"/>
        </w:rPr>
        <w:t>.</w:t>
      </w:r>
    </w:p>
  </w:footnote>
  <w:footnote w:id="24">
    <w:p w14:paraId="7B0C9533" w14:textId="339E7347"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National Strategic Policy Framework for Poverty Reduction 2015-2020 in EL only, </w:t>
      </w:r>
      <w:hyperlink r:id="rId8" w:history="1">
        <w:r w:rsidRPr="00F50E2F">
          <w:rPr>
            <w:rStyle w:val="Hyperlink"/>
            <w:rFonts w:cs="Arial"/>
          </w:rPr>
          <w:t>http://www.e-forosimv.gr/docs/2014_12_15_ypakp_diavouleysi.pdf</w:t>
        </w:r>
      </w:hyperlink>
      <w:r w:rsidRPr="00F50E2F">
        <w:rPr>
          <w:rFonts w:cs="Arial"/>
        </w:rPr>
        <w:t>.</w:t>
      </w:r>
    </w:p>
  </w:footnote>
  <w:footnote w:id="25">
    <w:p w14:paraId="60DDC3E8" w14:textId="3F45A41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Quoting from ANED 2015 EU2020 Greece Country Report p.26. </w:t>
      </w:r>
    </w:p>
  </w:footnote>
  <w:footnote w:id="26">
    <w:p w14:paraId="0DCBB8C1" w14:textId="77507FF1"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National Strategic Policy Framework for Social Integration 2014 – 2020 (p. 39).</w:t>
      </w:r>
    </w:p>
  </w:footnote>
  <w:footnote w:id="27">
    <w:p w14:paraId="3F32DF53" w14:textId="215D53D9"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National Strategic Policy Framework for Social Integration 2014 – 2020 (p.91).</w:t>
      </w:r>
    </w:p>
  </w:footnote>
  <w:footnote w:id="28">
    <w:p w14:paraId="20A48910" w14:textId="4E54359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Greek Partnership Agreement (May 2014) p. 104 available in EL only (here translated by the author of the report): </w:t>
      </w:r>
      <w:hyperlink r:id="rId9" w:history="1">
        <w:r w:rsidRPr="00F50E2F">
          <w:rPr>
            <w:rStyle w:val="Hyperlink"/>
            <w:rFonts w:eastAsiaTheme="majorEastAsia" w:cs="Arial"/>
          </w:rPr>
          <w:t>https://ec.europa.eu/info/sites/info/files/partnership-agreement-greece-may2014_el.pdf</w:t>
        </w:r>
      </w:hyperlink>
      <w:r w:rsidRPr="00C105A4">
        <w:rPr>
          <w:rStyle w:val="Hyperlink"/>
          <w:rFonts w:eastAsiaTheme="majorEastAsia" w:cs="Arial"/>
          <w:color w:val="auto"/>
          <w:u w:val="none"/>
        </w:rPr>
        <w:t>.</w:t>
      </w:r>
      <w:r w:rsidRPr="00F50E2F">
        <w:rPr>
          <w:rFonts w:cs="Arial"/>
        </w:rPr>
        <w:t xml:space="preserve"> </w:t>
      </w:r>
    </w:p>
  </w:footnote>
  <w:footnote w:id="29">
    <w:p w14:paraId="10D5A5C3" w14:textId="7AB741F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Strategy for the Contribution of the Operational Plan to the EU 2020 (2014) p.12, p. 100-101</w:t>
      </w:r>
      <w:hyperlink r:id="rId10" w:history="1">
        <w:r w:rsidRPr="00F50E2F">
          <w:rPr>
            <w:rStyle w:val="Hyperlink"/>
            <w:rFonts w:cs="Arial"/>
          </w:rPr>
          <w:t>https://www.espa.gr/elibrary/Anthr._Dynamiko_Ekpaideusi_2014GR05M9OP001_1_4_el.pdf</w:t>
        </w:r>
      </w:hyperlink>
      <w:r w:rsidRPr="00F50E2F">
        <w:rPr>
          <w:rFonts w:cs="Arial"/>
        </w:rPr>
        <w:t>; See also Fundamental Rights Agency (2017) p. 22.</w:t>
      </w:r>
    </w:p>
  </w:footnote>
  <w:footnote w:id="30">
    <w:p w14:paraId="3EC8D70E" w14:textId="33EDFE73"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Community Living for Europe Structural Funds Watch </w:t>
      </w:r>
      <w:r w:rsidRPr="00F50E2F">
        <w:rPr>
          <w:rFonts w:cs="Arial"/>
          <w:i/>
        </w:rPr>
        <w:t>Greece Country Summary</w:t>
      </w:r>
      <w:r w:rsidRPr="00F50E2F">
        <w:rPr>
          <w:rFonts w:cs="Arial"/>
        </w:rPr>
        <w:t xml:space="preserve"> </w:t>
      </w:r>
      <w:hyperlink r:id="rId11" w:history="1">
        <w:r w:rsidRPr="00F50E2F">
          <w:rPr>
            <w:rStyle w:val="Hyperlink"/>
            <w:rFonts w:cs="Arial"/>
          </w:rPr>
          <w:t>https://communitylivingforeurope.org/country-specifics/</w:t>
        </w:r>
      </w:hyperlink>
      <w:r w:rsidRPr="00C105A4">
        <w:rPr>
          <w:rStyle w:val="Hyperlink"/>
          <w:rFonts w:cs="Arial"/>
          <w:color w:val="auto"/>
          <w:u w:val="none"/>
        </w:rPr>
        <w:t>.</w:t>
      </w:r>
      <w:r w:rsidRPr="00F50E2F">
        <w:rPr>
          <w:rFonts w:cs="Arial"/>
        </w:rPr>
        <w:t xml:space="preserve"> </w:t>
      </w:r>
    </w:p>
  </w:footnote>
  <w:footnote w:id="31">
    <w:p w14:paraId="2FA4221B" w14:textId="22521DD1"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Greek Partnership Agreement (May 2014) p. 149 available in EL only: </w:t>
      </w:r>
      <w:hyperlink r:id="rId12" w:history="1">
        <w:r w:rsidRPr="00F50E2F">
          <w:rPr>
            <w:rStyle w:val="Hyperlink"/>
            <w:rFonts w:eastAsiaTheme="majorEastAsia" w:cs="Arial"/>
          </w:rPr>
          <w:t>https://ec.europa.eu/info/sites/info/files/partnership-agreement-greece-may2014_el.pdf</w:t>
        </w:r>
      </w:hyperlink>
      <w:r w:rsidR="00C105A4">
        <w:rPr>
          <w:rStyle w:val="Hyperlink"/>
          <w:rFonts w:eastAsiaTheme="majorEastAsia" w:cs="Arial"/>
          <w:u w:val="none"/>
        </w:rPr>
        <w:t>.</w:t>
      </w:r>
    </w:p>
  </w:footnote>
  <w:footnote w:id="32">
    <w:p w14:paraId="48B11DA0" w14:textId="38A2AC9D"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EYSEKT (2018) First Progress Report ESIF 2014-2020 p.30 </w:t>
      </w:r>
      <w:hyperlink r:id="rId13" w:history="1">
        <w:r w:rsidRPr="00F50E2F">
          <w:rPr>
            <w:rStyle w:val="Hyperlink"/>
            <w:rFonts w:cs="Arial"/>
          </w:rPr>
          <w:t>http://www.esfhellas.gr/elibrary/1h_Ekthesi_Proodou_ESPA_2014-2020_July2018.pdf</w:t>
        </w:r>
      </w:hyperlink>
      <w:r w:rsidR="00C105A4">
        <w:rPr>
          <w:rStyle w:val="Hyperlink"/>
          <w:rFonts w:cs="Arial"/>
          <w:u w:val="none"/>
        </w:rPr>
        <w:t>.</w:t>
      </w:r>
      <w:r w:rsidRPr="00F50E2F">
        <w:rPr>
          <w:rFonts w:cs="Arial"/>
        </w:rPr>
        <w:t xml:space="preserve"> </w:t>
      </w:r>
    </w:p>
  </w:footnote>
  <w:footnote w:id="33">
    <w:p w14:paraId="5F919432" w14:textId="4400DC09"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Regional Strategy for Social Inclusion and fight against poverty’ p. 48 Available in EL only at </w:t>
      </w:r>
      <w:hyperlink r:id="rId14" w:history="1">
        <w:r w:rsidRPr="00F50E2F">
          <w:rPr>
            <w:rStyle w:val="Hyperlink"/>
            <w:rFonts w:eastAsiaTheme="majorEastAsia" w:cs="Arial"/>
          </w:rPr>
          <w:t>http://www.pepattikis.gr/ftwxeia/</w:t>
        </w:r>
      </w:hyperlink>
      <w:r w:rsidR="00C105A4">
        <w:rPr>
          <w:rStyle w:val="Hyperlink"/>
          <w:rFonts w:eastAsiaTheme="majorEastAsia" w:cs="Arial"/>
          <w:u w:val="none"/>
        </w:rPr>
        <w:t>.</w:t>
      </w:r>
    </w:p>
  </w:footnote>
  <w:footnote w:id="34">
    <w:p w14:paraId="5A90EA7A" w14:textId="103F89E5"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Opening up communities, closing down institutions, report by Community Living for Europe: Structural Funds Watch (2017) p. 18 </w:t>
      </w:r>
      <w:hyperlink r:id="rId15" w:history="1">
        <w:r w:rsidRPr="00F50E2F">
          <w:rPr>
            <w:rStyle w:val="Hyperlink"/>
            <w:rFonts w:cs="Arial"/>
          </w:rPr>
          <w:t>https://eustructuralfundswatchdotcom.files.wordpress.com/2017/11/cle-sfw_opening-up-communities-november-2017_final.pdf</w:t>
        </w:r>
      </w:hyperlink>
      <w:r w:rsidRPr="00F50E2F">
        <w:rPr>
          <w:rFonts w:cs="Arial"/>
        </w:rPr>
        <w:t xml:space="preserve">. </w:t>
      </w:r>
    </w:p>
  </w:footnote>
  <w:footnote w:id="35">
    <w:p w14:paraId="3ECC1BC0" w14:textId="57A7FD8C"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Fundamental Rights Agency (2017) From institutions to community living - Part I: commitments and structures (p. 12).</w:t>
      </w:r>
    </w:p>
  </w:footnote>
  <w:footnote w:id="36">
    <w:p w14:paraId="7E28EE5E" w14:textId="167E9A60"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Regional Strategy for Social Inclusion and fight against poverty </w:t>
      </w:r>
      <w:hyperlink r:id="rId16" w:history="1">
        <w:r w:rsidRPr="00F50E2F">
          <w:rPr>
            <w:rStyle w:val="Hyperlink"/>
            <w:rFonts w:eastAsiaTheme="majorEastAsia" w:cs="Arial"/>
          </w:rPr>
          <w:t>http://www.pepattikis.gr/ftwxeia/</w:t>
        </w:r>
      </w:hyperlink>
      <w:r w:rsidRPr="00F50E2F">
        <w:rPr>
          <w:rFonts w:cs="Arial"/>
        </w:rPr>
        <w:t xml:space="preserve"> (see p. 244-245, p. 249). </w:t>
      </w:r>
    </w:p>
  </w:footnote>
  <w:footnote w:id="37">
    <w:p w14:paraId="0B3EC10D" w14:textId="370699C8" w:rsidR="005B1FE7" w:rsidRPr="00C105A4"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Structural Funds Watch Community Living for Europe </w:t>
      </w:r>
      <w:r w:rsidRPr="00F50E2F">
        <w:rPr>
          <w:rFonts w:cs="Arial"/>
          <w:i/>
        </w:rPr>
        <w:t>Greece Country Summary</w:t>
      </w:r>
      <w:r w:rsidRPr="00F50E2F">
        <w:rPr>
          <w:rFonts w:cs="Arial"/>
        </w:rPr>
        <w:t xml:space="preserve"> </w:t>
      </w:r>
      <w:hyperlink r:id="rId17" w:history="1">
        <w:r w:rsidRPr="00F50E2F">
          <w:rPr>
            <w:rStyle w:val="Hyperlink"/>
            <w:rFonts w:cs="Arial"/>
          </w:rPr>
          <w:t>https://communitylivingforeurope.org/country-specifics/</w:t>
        </w:r>
      </w:hyperlink>
      <w:r w:rsidR="00C105A4">
        <w:rPr>
          <w:rStyle w:val="Hyperlink"/>
          <w:rFonts w:cs="Arial"/>
          <w:u w:val="none"/>
        </w:rPr>
        <w:t>.</w:t>
      </w:r>
    </w:p>
  </w:footnote>
  <w:footnote w:id="38">
    <w:p w14:paraId="1BF1F265" w14:textId="68CCC88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proofErr w:type="gramStart"/>
      <w:r w:rsidRPr="00F50E2F">
        <w:rPr>
          <w:rFonts w:cs="Arial"/>
        </w:rPr>
        <w:t>Opening up</w:t>
      </w:r>
      <w:proofErr w:type="gramEnd"/>
      <w:r w:rsidRPr="00F50E2F">
        <w:rPr>
          <w:rFonts w:cs="Arial"/>
        </w:rPr>
        <w:t xml:space="preserve"> communities, closing down institutions, report by Community Living for Europe: Structural Funds Watch (2017) p. 29.</w:t>
      </w:r>
    </w:p>
  </w:footnote>
  <w:footnote w:id="39">
    <w:p w14:paraId="007638A6" w14:textId="0FCC3B80"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Common Ministerial Decision 15/12/2018 </w:t>
      </w:r>
      <w:hyperlink r:id="rId18" w:history="1">
        <w:r w:rsidRPr="00F50E2F">
          <w:rPr>
            <w:rStyle w:val="Hyperlink"/>
            <w:rFonts w:eastAsiaTheme="majorEastAsia" w:cs="Arial"/>
          </w:rPr>
          <w:t>https://www.esamea.gr/legal-framework/ministerial-decisions/3698-23-01-2017-kya-gia-apoidrymatopoiisi-amea-se-dytiki-ellada-kai-attiki</w:t>
        </w:r>
      </w:hyperlink>
      <w:r w:rsidR="00C105A4">
        <w:rPr>
          <w:rStyle w:val="Hyperlink"/>
          <w:rFonts w:eastAsiaTheme="majorEastAsia" w:cs="Arial"/>
          <w:u w:val="none"/>
        </w:rPr>
        <w:t>.</w:t>
      </w:r>
      <w:r w:rsidRPr="00F50E2F">
        <w:rPr>
          <w:rFonts w:cs="Arial"/>
        </w:rPr>
        <w:t xml:space="preserve"> </w:t>
      </w:r>
    </w:p>
  </w:footnote>
  <w:footnote w:id="40">
    <w:p w14:paraId="13368AE7" w14:textId="436A06B0"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Greek Partnership Agreement (May 2014) p. 130.</w:t>
      </w:r>
    </w:p>
  </w:footnote>
  <w:footnote w:id="41">
    <w:p w14:paraId="7F51B4F1" w14:textId="3F89DE57"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Press Release 4212/22-10-2014 The recommendations of the disability movement to the regional operational programs in Attica, Western Greece, Eastern Macedonia and Thrace </w:t>
      </w:r>
      <w:hyperlink r:id="rId19" w:history="1">
        <w:r w:rsidRPr="00F50E2F">
          <w:rPr>
            <w:rStyle w:val="Hyperlink"/>
            <w:rFonts w:eastAsiaTheme="majorEastAsia" w:cs="Arial"/>
          </w:rPr>
          <w:t>http://www.esamea.gr/pressoffice/press-releases/1180-oi-protaseis-toy-anapirikoy-kinimatos-sta-perifereiaka-epixeirisiaka-programmata-attiki-d-ellada-an-makedonia-thraki</w:t>
        </w:r>
      </w:hyperlink>
      <w:r w:rsidRPr="00F50E2F">
        <w:rPr>
          <w:rFonts w:cs="Arial"/>
        </w:rPr>
        <w:t>.</w:t>
      </w:r>
    </w:p>
  </w:footnote>
  <w:footnote w:id="42">
    <w:p w14:paraId="3E4A53EF" w14:textId="491D318A"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hyperlink r:id="rId20" w:history="1">
        <w:r w:rsidRPr="00F50E2F">
          <w:rPr>
            <w:rStyle w:val="Hyperlink"/>
            <w:rFonts w:cs="Arial"/>
          </w:rPr>
          <w:t>http://www.esfhellas.gr/el/Pages/ProclamationsFS.aspx?item=4487</w:t>
        </w:r>
      </w:hyperlink>
      <w:r w:rsidRPr="00F50E2F">
        <w:rPr>
          <w:rFonts w:cs="Arial"/>
        </w:rPr>
        <w:t xml:space="preserve">. </w:t>
      </w:r>
    </w:p>
  </w:footnote>
  <w:footnote w:id="43">
    <w:p w14:paraId="3D9BC18E" w14:textId="569DA5DD"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hyperlink r:id="rId21" w:history="1">
        <w:r w:rsidRPr="00F50E2F">
          <w:rPr>
            <w:rStyle w:val="Hyperlink"/>
            <w:rFonts w:cs="Arial"/>
          </w:rPr>
          <w:t>http://www.esfhellas.gr/el/Pages/ProclamationsFS.aspx?item=4467</w:t>
        </w:r>
      </w:hyperlink>
      <w:r w:rsidRPr="00F50E2F">
        <w:rPr>
          <w:rFonts w:cs="Arial"/>
        </w:rPr>
        <w:t xml:space="preserve">. </w:t>
      </w:r>
    </w:p>
  </w:footnote>
  <w:footnote w:id="44">
    <w:p w14:paraId="32C3CBF9" w14:textId="668C07AE" w:rsidR="005B1FE7" w:rsidRPr="00C105A4"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Last update 04/07/2018 </w:t>
      </w:r>
      <w:hyperlink r:id="rId22" w:tgtFrame="_blank" w:history="1">
        <w:r w:rsidRPr="00F50E2F">
          <w:rPr>
            <w:rStyle w:val="Hyperlink"/>
            <w:rFonts w:eastAsiaTheme="majorEastAsia" w:cs="Arial"/>
          </w:rPr>
          <w:t>https://www.espa.gr/el/Pages/ProgramsList.aspx</w:t>
        </w:r>
      </w:hyperlink>
      <w:r w:rsidR="00C105A4">
        <w:rPr>
          <w:rStyle w:val="Hyperlink"/>
          <w:rFonts w:eastAsiaTheme="majorEastAsia" w:cs="Arial"/>
          <w:u w:val="none"/>
        </w:rPr>
        <w:t>.</w:t>
      </w:r>
    </w:p>
  </w:footnote>
  <w:footnote w:id="45">
    <w:p w14:paraId="74BE288B" w14:textId="3BEB1D68" w:rsidR="005B1FE7" w:rsidRPr="00F50E2F" w:rsidRDefault="005B1FE7" w:rsidP="000844FE">
      <w:pPr>
        <w:ind w:left="284" w:hanging="284"/>
        <w:jc w:val="left"/>
        <w:rPr>
          <w:rFonts w:cs="Arial"/>
          <w:sz w:val="20"/>
        </w:rPr>
      </w:pPr>
      <w:r w:rsidRPr="00F50E2F">
        <w:rPr>
          <w:rStyle w:val="FootnoteReference"/>
          <w:rFonts w:eastAsiaTheme="majorEastAsia" w:cs="Arial"/>
        </w:rPr>
        <w:footnoteRef/>
      </w:r>
      <w:r w:rsidRPr="00F50E2F">
        <w:rPr>
          <w:rFonts w:cs="Arial"/>
          <w:sz w:val="20"/>
        </w:rPr>
        <w:t xml:space="preserve"> </w:t>
      </w:r>
      <w:r w:rsidRPr="00F50E2F">
        <w:rPr>
          <w:rFonts w:cs="Arial"/>
          <w:sz w:val="20"/>
        </w:rPr>
        <w:tab/>
        <w:t>Worth noting these structures were first established in the 2007-2013 programmatic period. Quoting from the UNCRPD Initial State Party Report (2015, p. 29)— Joint Ministerial Decision, Government Gazette 74, Series B/27.01.2007. 26.5 million euro have been allocated to support the operation of forty-one (41) Supported Living Houses for a period of up to thirty-six (36) months, subject to ensuring the continuation of their operation by using their own or national resources.</w:t>
      </w:r>
    </w:p>
  </w:footnote>
  <w:footnote w:id="46">
    <w:p w14:paraId="4A9366F9" w14:textId="406C1CBC"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Please see Item D.5 Greece at </w:t>
      </w:r>
      <w:hyperlink r:id="rId23" w:history="1">
        <w:r w:rsidRPr="00F50E2F">
          <w:rPr>
            <w:rStyle w:val="Hyperlink"/>
            <w:rFonts w:cs="Arial"/>
          </w:rPr>
          <w:t>https://www.disability-europe.net/dotcom</w:t>
        </w:r>
      </w:hyperlink>
      <w:r w:rsidRPr="00F50E2F">
        <w:rPr>
          <w:rFonts w:cs="Arial"/>
        </w:rPr>
        <w:t xml:space="preserve">. </w:t>
      </w:r>
    </w:p>
  </w:footnote>
  <w:footnote w:id="47">
    <w:p w14:paraId="6E67CE44" w14:textId="09A20B9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Circular number 63/4.10.2012: IKA Support at Home for Pensioners.</w:t>
      </w:r>
    </w:p>
  </w:footnote>
  <w:footnote w:id="48">
    <w:p w14:paraId="2A94E71E" w14:textId="2AECA4B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EYSEKT (2018) First Progress Report ESIF 2014-2020 p.116 </w:t>
      </w:r>
      <w:hyperlink r:id="rId24" w:history="1">
        <w:r w:rsidRPr="00F50E2F">
          <w:rPr>
            <w:rStyle w:val="Hyperlink"/>
            <w:rFonts w:cs="Arial"/>
          </w:rPr>
          <w:t>http://www.esfhellas.gr/elibrary/1h_Ekthesi_Proodou_ESPA_2014-2020_July2018.pdf</w:t>
        </w:r>
      </w:hyperlink>
      <w:r w:rsidR="00C105A4">
        <w:rPr>
          <w:rStyle w:val="Hyperlink"/>
          <w:rFonts w:cs="Arial"/>
          <w:u w:val="none"/>
        </w:rPr>
        <w:t>.</w:t>
      </w:r>
      <w:r w:rsidRPr="00F50E2F">
        <w:rPr>
          <w:rFonts w:cs="Arial"/>
        </w:rPr>
        <w:t xml:space="preserve"> </w:t>
      </w:r>
    </w:p>
  </w:footnote>
  <w:footnote w:id="49">
    <w:p w14:paraId="6B110AF2" w14:textId="589B5EC5"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hyperlink r:id="rId25" w:history="1">
        <w:r w:rsidRPr="00F50E2F">
          <w:rPr>
            <w:rStyle w:val="Hyperlink"/>
            <w:rFonts w:cs="Arial"/>
          </w:rPr>
          <w:t>http://www.esfhellas.gr/el/Pages/EYSEKT.aspx</w:t>
        </w:r>
      </w:hyperlink>
      <w:r w:rsidR="00C105A4">
        <w:rPr>
          <w:rStyle w:val="Hyperlink"/>
          <w:rFonts w:cs="Arial"/>
          <w:u w:val="none"/>
        </w:rPr>
        <w:t>.</w:t>
      </w:r>
      <w:r w:rsidRPr="00F50E2F">
        <w:rPr>
          <w:rFonts w:cs="Arial"/>
        </w:rPr>
        <w:t xml:space="preserve"> </w:t>
      </w:r>
    </w:p>
  </w:footnote>
  <w:footnote w:id="50">
    <w:p w14:paraId="031FF80A" w14:textId="5B9A535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L.4314/ 2014 Management, Audit and Implementation of interventions in the programmatic period 2014-2020 </w:t>
      </w:r>
      <w:hyperlink r:id="rId26" w:history="1">
        <w:r w:rsidRPr="00F50E2F">
          <w:rPr>
            <w:rStyle w:val="Hyperlink"/>
            <w:rFonts w:cs="Arial"/>
          </w:rPr>
          <w:t>http://www.esfhellas.gr/elibrary/N4314_2014_FEKA265.pdf</w:t>
        </w:r>
      </w:hyperlink>
      <w:r w:rsidR="00C105A4">
        <w:rPr>
          <w:rStyle w:val="Hyperlink"/>
          <w:rFonts w:cs="Arial"/>
          <w:u w:val="none"/>
        </w:rPr>
        <w:t>.</w:t>
      </w:r>
      <w:r w:rsidRPr="00F50E2F">
        <w:rPr>
          <w:rFonts w:cs="Arial"/>
        </w:rPr>
        <w:t xml:space="preserve"> </w:t>
      </w:r>
    </w:p>
  </w:footnote>
  <w:footnote w:id="51">
    <w:p w14:paraId="4F4AB81C" w14:textId="15BE64EA"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According to the Institute of Child Health) “The ministerial decision has not been implemented in any way” (see footnote 56).</w:t>
      </w:r>
    </w:p>
  </w:footnote>
  <w:footnote w:id="52">
    <w:p w14:paraId="7B24CE9F" w14:textId="4124C250"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Ministry of Finance and Development, General Secretariat of Public Investments and EUSIF, National Coordination Authority</w:t>
      </w:r>
      <w:r w:rsidRPr="00F50E2F">
        <w:rPr>
          <w:rFonts w:cs="Arial"/>
          <w:i/>
        </w:rPr>
        <w:t xml:space="preserve"> Unified Indicators Monitoring System</w:t>
      </w:r>
      <w:r w:rsidRPr="00F50E2F">
        <w:rPr>
          <w:rFonts w:cs="Arial"/>
        </w:rPr>
        <w:t xml:space="preserve"> </w:t>
      </w:r>
      <w:hyperlink r:id="rId27" w:history="1">
        <w:r w:rsidRPr="00F50E2F">
          <w:rPr>
            <w:rStyle w:val="Hyperlink"/>
            <w:rFonts w:cs="Arial"/>
          </w:rPr>
          <w:t>http://www.esfhellas.gr/elibrary/Eniaio_Systima_Parakolouthisis_Deiktwn_2014-2020_July2017.pdf</w:t>
        </w:r>
      </w:hyperlink>
      <w:r w:rsidRPr="00F50E2F">
        <w:rPr>
          <w:rFonts w:cs="Arial"/>
        </w:rPr>
        <w:t xml:space="preserve">. </w:t>
      </w:r>
    </w:p>
  </w:footnote>
  <w:footnote w:id="53">
    <w:p w14:paraId="551003F6" w14:textId="171906E2"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See for instance indicators for the program Day Care Services p.4 </w:t>
      </w:r>
      <w:hyperlink r:id="rId28" w:history="1">
        <w:r w:rsidRPr="00F50E2F">
          <w:rPr>
            <w:rStyle w:val="Hyperlink"/>
            <w:rFonts w:cs="Arial"/>
          </w:rPr>
          <w:t>http://www.esfhellas.gr/Lists/Proclamations/Attachments/4487/PR_145.9iii_1-0.pdf</w:t>
        </w:r>
      </w:hyperlink>
      <w:r w:rsidRPr="00F50E2F">
        <w:rPr>
          <w:rFonts w:cs="Arial"/>
        </w:rPr>
        <w:t xml:space="preserve">. </w:t>
      </w:r>
    </w:p>
  </w:footnote>
  <w:footnote w:id="54">
    <w:p w14:paraId="3872F26A" w14:textId="7D874154"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None identified in the EYSEKT e-library. </w:t>
      </w:r>
    </w:p>
  </w:footnote>
  <w:footnote w:id="55">
    <w:p w14:paraId="5FB10F9B" w14:textId="2CBF2AF2"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r w:rsidRPr="00C105A4">
        <w:rPr>
          <w:rStyle w:val="Hyperlink"/>
          <w:rFonts w:cs="Arial"/>
        </w:rPr>
        <w:t>http://www.esfhellas.gr/el/Pages/eLibrary.aspx</w:t>
      </w:r>
      <w:r w:rsidR="00C105A4">
        <w:rPr>
          <w:rStyle w:val="Hyperlink"/>
          <w:rFonts w:cs="Arial"/>
          <w:u w:val="none"/>
        </w:rPr>
        <w:t>.</w:t>
      </w:r>
    </w:p>
  </w:footnote>
  <w:footnote w:id="56">
    <w:p w14:paraId="26F0E450" w14:textId="0D6C1726"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Special thanks for the warm interest and information shared by </w:t>
      </w:r>
      <w:proofErr w:type="spellStart"/>
      <w:r w:rsidRPr="00F50E2F">
        <w:rPr>
          <w:rFonts w:cs="Arial"/>
        </w:rPr>
        <w:t>Dr.</w:t>
      </w:r>
      <w:proofErr w:type="spellEnd"/>
      <w:r w:rsidRPr="00F50E2F">
        <w:rPr>
          <w:rFonts w:cs="Arial"/>
        </w:rPr>
        <w:t xml:space="preserve"> George </w:t>
      </w:r>
      <w:proofErr w:type="spellStart"/>
      <w:r w:rsidRPr="00F50E2F">
        <w:rPr>
          <w:rFonts w:cs="Arial"/>
        </w:rPr>
        <w:t>Nicholaidis</w:t>
      </w:r>
      <w:proofErr w:type="spellEnd"/>
      <w:r w:rsidRPr="00F50E2F">
        <w:rPr>
          <w:rFonts w:cs="Arial"/>
        </w:rPr>
        <w:t xml:space="preserve">, Head of the Department for Mental Health and Social Welfare of the Institute of Child’s Health; please note the Institute of Child’s Health was the implementing partner of Lumos International in conducting a </w:t>
      </w:r>
      <w:r w:rsidRPr="00F50E2F">
        <w:rPr>
          <w:rFonts w:cs="Arial"/>
          <w:i/>
        </w:rPr>
        <w:t>Strategic Review of the Situation of Vulnerable Children in Greece</w:t>
      </w:r>
      <w:r w:rsidRPr="00F50E2F">
        <w:rPr>
          <w:rFonts w:cs="Arial"/>
        </w:rPr>
        <w:t xml:space="preserve"> in 2016 specifically aimed to “provide the research base for promoting and planning reform of the child care system, away from institutions and towards community based services” (Executive Summary p.1). </w:t>
      </w:r>
    </w:p>
  </w:footnote>
  <w:footnote w:id="57">
    <w:p w14:paraId="29D963EC" w14:textId="5D9AD375"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EYSEKT (2017) Study for the Support Living Shelters in ESIF 2014-2020 p.37 </w:t>
      </w:r>
      <w:hyperlink r:id="rId29" w:history="1">
        <w:r w:rsidRPr="00F50E2F">
          <w:rPr>
            <w:rStyle w:val="Hyperlink"/>
            <w:rFonts w:cs="Arial"/>
          </w:rPr>
          <w:t>http://www.esfhellas.gr/el/Pages/eLibraryFS.aspx?item=2087</w:t>
        </w:r>
      </w:hyperlink>
      <w:r w:rsidRPr="00F50E2F">
        <w:rPr>
          <w:rFonts w:cs="Arial"/>
        </w:rPr>
        <w:t>.</w:t>
      </w:r>
    </w:p>
  </w:footnote>
  <w:footnote w:id="58">
    <w:p w14:paraId="4B153F3F" w14:textId="319BBFEB"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p.26.</w:t>
      </w:r>
    </w:p>
  </w:footnote>
  <w:footnote w:id="59">
    <w:p w14:paraId="284E3983" w14:textId="0AED74D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p.42.</w:t>
      </w:r>
    </w:p>
  </w:footnote>
  <w:footnote w:id="60">
    <w:p w14:paraId="4BB7CF43" w14:textId="3BD9D29C"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p.42.</w:t>
      </w:r>
    </w:p>
  </w:footnote>
  <w:footnote w:id="61">
    <w:p w14:paraId="3E0F3F12" w14:textId="41A1D605"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p.48.</w:t>
      </w:r>
    </w:p>
  </w:footnote>
  <w:footnote w:id="62">
    <w:p w14:paraId="09C79C2E" w14:textId="1E8E543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p.48.</w:t>
      </w:r>
    </w:p>
  </w:footnote>
  <w:footnote w:id="63">
    <w:p w14:paraId="5787B77C" w14:textId="1C1137EC"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p.32 (table 8).</w:t>
      </w:r>
    </w:p>
  </w:footnote>
  <w:footnote w:id="64">
    <w:p w14:paraId="091353D1" w14:textId="5B9B0F5B"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EYSEKT (2017) Study for the Support Living Shelters in ESIF 2014-2020 p.35.</w:t>
      </w:r>
    </w:p>
  </w:footnote>
  <w:footnote w:id="65">
    <w:p w14:paraId="600E6D5E" w14:textId="10B5340A"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Law 4487/2017 Public Sector Pension Regulations, enhancing protection of employees, rights of persons with disabilities and other regulations </w:t>
      </w:r>
      <w:hyperlink r:id="rId30" w:history="1">
        <w:r w:rsidRPr="00F50E2F">
          <w:rPr>
            <w:rStyle w:val="Hyperlink"/>
            <w:rFonts w:cs="Arial"/>
          </w:rPr>
          <w:t>http://www.parliament.gr/Nomothetiko-Ergo/Anazitisi-Nomothetikou-Ergou?law_id=b8e96a13-bde1-47bc-a835-a7de0147c297</w:t>
        </w:r>
      </w:hyperlink>
      <w:r w:rsidR="00C105A4">
        <w:rPr>
          <w:rStyle w:val="Hyperlink"/>
          <w:rFonts w:cs="Arial"/>
          <w:u w:val="none"/>
        </w:rPr>
        <w:t>.</w:t>
      </w:r>
    </w:p>
  </w:footnote>
  <w:footnote w:id="66">
    <w:p w14:paraId="0CDCA14C" w14:textId="379C8E1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hyperlink r:id="rId31" w:history="1">
        <w:r w:rsidRPr="00F50E2F">
          <w:rPr>
            <w:rStyle w:val="Hyperlink"/>
            <w:rFonts w:cs="Arial"/>
          </w:rPr>
          <w:t>http://www.esfhellas.gr/el/Pages/ProclamationsFS.aspx?item=4056</w:t>
        </w:r>
      </w:hyperlink>
      <w:r w:rsidR="00C105A4">
        <w:rPr>
          <w:rStyle w:val="Hyperlink"/>
          <w:rFonts w:cs="Arial"/>
          <w:u w:val="none"/>
        </w:rPr>
        <w:t>.</w:t>
      </w:r>
      <w:r w:rsidRPr="00F50E2F">
        <w:rPr>
          <w:rFonts w:cs="Arial"/>
        </w:rPr>
        <w:t xml:space="preserve"> </w:t>
      </w:r>
    </w:p>
  </w:footnote>
  <w:footnote w:id="67">
    <w:p w14:paraId="1A69C9B4" w14:textId="3E300AEE"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Greece UN CRPD State Party’s Report 23 November 2015 </w:t>
      </w:r>
      <w:hyperlink r:id="rId32" w:history="1">
        <w:r w:rsidRPr="00F50E2F">
          <w:rPr>
            <w:rStyle w:val="Hyperlink"/>
            <w:rFonts w:cs="Arial"/>
          </w:rPr>
          <w:t>https://tbinternet.ohchr.org/_layouts/treatybodyexternal/Download.aspx?symbolno=CRPD%2fC%2fGRC%2f1&amp;Lang=en</w:t>
        </w:r>
      </w:hyperlink>
      <w:r w:rsidR="00C105A4">
        <w:rPr>
          <w:rStyle w:val="Hyperlink"/>
          <w:rFonts w:cs="Arial"/>
          <w:u w:val="none"/>
        </w:rPr>
        <w:t>.</w:t>
      </w:r>
      <w:r w:rsidRPr="00F50E2F">
        <w:rPr>
          <w:rFonts w:cs="Arial"/>
        </w:rPr>
        <w:t xml:space="preserve"> </w:t>
      </w:r>
    </w:p>
  </w:footnote>
  <w:footnote w:id="68">
    <w:p w14:paraId="676BBB9B" w14:textId="6D39CE5F"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Style w:val="Hyperlink"/>
          <w:rFonts w:cs="Arial"/>
        </w:rPr>
        <w:t xml:space="preserve"> </w:t>
      </w:r>
      <w:hyperlink r:id="rId33" w:history="1">
        <w:r w:rsidRPr="00F50E2F">
          <w:rPr>
            <w:rStyle w:val="Hyperlink"/>
            <w:rFonts w:cs="Arial"/>
          </w:rPr>
          <w:t>https://tbinternet.ohchr.org/_layouts/treatybodyexternal/TBSearch.aspx?Lang=en&amp;TreatyID=4&amp;DocTypeID=5</w:t>
        </w:r>
      </w:hyperlink>
      <w:r w:rsidR="00C105A4">
        <w:rPr>
          <w:rStyle w:val="Hyperlink"/>
          <w:rFonts w:cs="Arial"/>
          <w:u w:val="none"/>
        </w:rPr>
        <w:t>.</w:t>
      </w:r>
    </w:p>
  </w:footnote>
  <w:footnote w:id="69">
    <w:p w14:paraId="527A5B02" w14:textId="1D882999"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 xml:space="preserve">Human Rights Committee (2015) Concluding observations on the second periodic report of Greece Observations 9 and 10 p.2,3 </w:t>
      </w:r>
      <w:hyperlink r:id="rId34" w:history="1">
        <w:r w:rsidRPr="00F50E2F">
          <w:rPr>
            <w:rStyle w:val="Hyperlink"/>
            <w:rFonts w:eastAsiaTheme="majorEastAsia" w:cs="Arial"/>
          </w:rPr>
          <w:t>https://tbinternet.ohchr.org/_layouts/treatybodyexternal/Download.aspx?symbolno=CCPR%2fC%2fGRC%2fCO%2f2&amp;Lang=en</w:t>
        </w:r>
      </w:hyperlink>
      <w:r w:rsidR="00C105A4">
        <w:rPr>
          <w:rStyle w:val="Hyperlink"/>
          <w:rFonts w:eastAsiaTheme="majorEastAsia" w:cs="Arial"/>
          <w:u w:val="none"/>
        </w:rPr>
        <w:t>.</w:t>
      </w:r>
      <w:r w:rsidRPr="00F50E2F">
        <w:rPr>
          <w:rFonts w:cs="Arial"/>
        </w:rPr>
        <w:t xml:space="preserve"> </w:t>
      </w:r>
    </w:p>
  </w:footnote>
  <w:footnote w:id="70">
    <w:p w14:paraId="193206A4" w14:textId="163F46B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Cited from ANED 2015 EU2020 Report Greece. </w:t>
      </w:r>
    </w:p>
  </w:footnote>
  <w:footnote w:id="71">
    <w:p w14:paraId="7DD50D54" w14:textId="0D6A26C1"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Council of Europe, Commissioner of Human Rights (2016) </w:t>
      </w:r>
      <w:hyperlink r:id="rId35" w:history="1">
        <w:r w:rsidRPr="00F50E2F">
          <w:rPr>
            <w:rStyle w:val="Hyperlink"/>
            <w:rFonts w:eastAsiaTheme="majorEastAsia" w:cs="Arial"/>
          </w:rPr>
          <w:t>https://www.coe.int/en/web/commissioner/-/greece-urged-to-protect-the-human-rights-of-persons-with-intellectual-and-psychosocial-disabilities-and-de-institutionalise-them</w:t>
        </w:r>
      </w:hyperlink>
      <w:r w:rsidR="00C105A4">
        <w:rPr>
          <w:rStyle w:val="Hyperlink"/>
          <w:rFonts w:eastAsiaTheme="majorEastAsia" w:cs="Arial"/>
          <w:u w:val="none"/>
        </w:rPr>
        <w:t>.</w:t>
      </w:r>
      <w:r w:rsidRPr="00F50E2F">
        <w:rPr>
          <w:rStyle w:val="Hyperlink"/>
          <w:rFonts w:eastAsiaTheme="majorEastAsia" w:cs="Arial"/>
        </w:rPr>
        <w:t xml:space="preserve"> </w:t>
      </w:r>
    </w:p>
  </w:footnote>
  <w:footnote w:id="72">
    <w:p w14:paraId="78B8264A" w14:textId="41D1459F"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Council of Europe, Commissioner of Human Rights (2018) Impact of Economic Crisis on Disabled people in Greece p. 34-35 </w:t>
      </w:r>
      <w:hyperlink r:id="rId36" w:history="1">
        <w:r w:rsidRPr="00F50E2F">
          <w:rPr>
            <w:rStyle w:val="Hyperlink"/>
            <w:rFonts w:cs="Arial"/>
          </w:rPr>
          <w:t>https://rm.coe.int/CoERMPublicCommonSearchServices/DisplayDCTMContent?documentId=09000016809024f7</w:t>
        </w:r>
      </w:hyperlink>
      <w:r w:rsidRPr="00F50E2F">
        <w:rPr>
          <w:rFonts w:cs="Arial"/>
        </w:rPr>
        <w:t xml:space="preserve">. </w:t>
      </w:r>
    </w:p>
  </w:footnote>
  <w:footnote w:id="73">
    <w:p w14:paraId="53D7E62F" w14:textId="2F04E0EF"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Greek Ombudsman (March 2015). Special Report - The rights of children who reside in institutions: Findings and recommendations of the Independent Authority “the Greek Ombudsman” on the function of the child protection institutions (p.1,2): </w:t>
      </w:r>
      <w:hyperlink r:id="rId37" w:history="1">
        <w:r w:rsidRPr="00F50E2F">
          <w:rPr>
            <w:rStyle w:val="Hyperlink"/>
            <w:rFonts w:cs="Arial"/>
          </w:rPr>
          <w:t>http://www.synigoros.gr/resources/docs/575568.pdf</w:t>
        </w:r>
      </w:hyperlink>
      <w:r w:rsidRPr="00F50E2F">
        <w:rPr>
          <w:rFonts w:cs="Arial"/>
        </w:rPr>
        <w:t xml:space="preserve">. </w:t>
      </w:r>
    </w:p>
  </w:footnote>
  <w:footnote w:id="74">
    <w:p w14:paraId="3F825949" w14:textId="1F55033B"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Cited from ANED 2015 EU2020 Report Greece.</w:t>
      </w:r>
    </w:p>
  </w:footnote>
  <w:footnote w:id="75">
    <w:p w14:paraId="71336C89" w14:textId="69C37A50" w:rsidR="005B1FE7" w:rsidRPr="00F50E2F" w:rsidRDefault="005B1FE7" w:rsidP="000844FE">
      <w:pPr>
        <w:ind w:left="284" w:hanging="284"/>
        <w:jc w:val="left"/>
        <w:rPr>
          <w:rFonts w:cs="Arial"/>
          <w:sz w:val="20"/>
        </w:rPr>
      </w:pPr>
      <w:r w:rsidRPr="00F50E2F">
        <w:rPr>
          <w:rStyle w:val="FootnoteReference"/>
          <w:rFonts w:cs="Arial"/>
        </w:rPr>
        <w:footnoteRef/>
      </w:r>
      <w:r w:rsidRPr="00F50E2F">
        <w:rPr>
          <w:rFonts w:cs="Arial"/>
          <w:sz w:val="20"/>
        </w:rPr>
        <w:t xml:space="preserve"> </w:t>
      </w:r>
      <w:r w:rsidRPr="00F50E2F">
        <w:rPr>
          <w:rFonts w:cs="Arial"/>
          <w:sz w:val="20"/>
        </w:rPr>
        <w:tab/>
        <w:t xml:space="preserve">The Greek Ombudsman Independent Authority, (2011). Functioning Conditions of the Social Care </w:t>
      </w:r>
      <w:r w:rsidR="00F50E2F" w:rsidRPr="00F50E2F">
        <w:rPr>
          <w:rFonts w:cs="Arial"/>
          <w:sz w:val="20"/>
        </w:rPr>
        <w:t>Centre</w:t>
      </w:r>
      <w:r w:rsidRPr="00F50E2F">
        <w:rPr>
          <w:rFonts w:cs="Arial"/>
          <w:sz w:val="20"/>
        </w:rPr>
        <w:t xml:space="preserve"> for children with disabilities “Children’s Care </w:t>
      </w:r>
      <w:r w:rsidR="00F50E2F" w:rsidRPr="00F50E2F">
        <w:rPr>
          <w:rFonts w:cs="Arial"/>
          <w:sz w:val="20"/>
        </w:rPr>
        <w:t>Centre</w:t>
      </w:r>
      <w:r w:rsidRPr="00F50E2F">
        <w:rPr>
          <w:rFonts w:cs="Arial"/>
          <w:sz w:val="20"/>
        </w:rPr>
        <w:t xml:space="preserve"> of </w:t>
      </w:r>
      <w:proofErr w:type="spellStart"/>
      <w:r w:rsidRPr="00F50E2F">
        <w:rPr>
          <w:rFonts w:cs="Arial"/>
          <w:sz w:val="20"/>
        </w:rPr>
        <w:t>Lechaina</w:t>
      </w:r>
      <w:proofErr w:type="spellEnd"/>
      <w:r w:rsidRPr="00F50E2F">
        <w:rPr>
          <w:rFonts w:cs="Arial"/>
          <w:sz w:val="20"/>
        </w:rPr>
        <w:t xml:space="preserve">”. </w:t>
      </w:r>
      <w:hyperlink r:id="rId38" w:tgtFrame="_blank" w:history="1">
        <w:r w:rsidRPr="00F50E2F">
          <w:rPr>
            <w:rStyle w:val="Hyperlink"/>
            <w:rFonts w:eastAsiaTheme="majorEastAsia" w:cs="Arial"/>
          </w:rPr>
          <w:t>https://www.synigoros.gr/resources/docs/kepeplechaina2011.</w:t>
        </w:r>
        <w:r w:rsidRPr="00C105A4">
          <w:rPr>
            <w:rStyle w:val="Hyperlink"/>
            <w:rFonts w:eastAsiaTheme="majorEastAsia" w:cs="Arial"/>
          </w:rPr>
          <w:t>pdf</w:t>
        </w:r>
      </w:hyperlink>
      <w:r w:rsidR="00C105A4">
        <w:rPr>
          <w:rStyle w:val="Hyperlink"/>
          <w:rFonts w:eastAsiaTheme="majorEastAsia" w:cs="Arial"/>
          <w:u w:val="none"/>
        </w:rPr>
        <w:t xml:space="preserve"> </w:t>
      </w:r>
      <w:r w:rsidRPr="00C105A4">
        <w:rPr>
          <w:rFonts w:cs="Arial"/>
          <w:sz w:val="20"/>
        </w:rPr>
        <w:t>you</w:t>
      </w:r>
      <w:r w:rsidRPr="00F50E2F">
        <w:rPr>
          <w:rFonts w:cs="Arial"/>
          <w:sz w:val="20"/>
        </w:rPr>
        <w:t xml:space="preserve"> may note this is one of the institutions where resettlement of residents is planned (please see section 2.1).</w:t>
      </w:r>
    </w:p>
  </w:footnote>
  <w:footnote w:id="76">
    <w:p w14:paraId="09F618AA" w14:textId="60DE5DD5"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The Greek Ombudsman (2012) </w:t>
      </w:r>
      <w:r w:rsidRPr="00F50E2F">
        <w:rPr>
          <w:rFonts w:cs="Arial"/>
          <w:i/>
        </w:rPr>
        <w:t>Parallel Report of the Greek Ombudsman to the UN CRC</w:t>
      </w:r>
      <w:r w:rsidRPr="00F50E2F">
        <w:rPr>
          <w:rFonts w:cs="Arial"/>
        </w:rPr>
        <w:t xml:space="preserve"> p. 12 available at </w:t>
      </w:r>
      <w:hyperlink r:id="rId39" w:history="1">
        <w:r w:rsidRPr="00F50E2F">
          <w:rPr>
            <w:rStyle w:val="Hyperlink"/>
            <w:rFonts w:cs="Arial"/>
          </w:rPr>
          <w:t>http://www.synigoros.gr/resources/parallel-report-un--3.pdf</w:t>
        </w:r>
      </w:hyperlink>
      <w:r w:rsidRPr="00F50E2F">
        <w:rPr>
          <w:rFonts w:cs="Arial"/>
        </w:rPr>
        <w:t>. Also cited in ANED 2015 EU2020 Greece Country Report p. 27.</w:t>
      </w:r>
    </w:p>
  </w:footnote>
  <w:footnote w:id="77">
    <w:p w14:paraId="011D06A4" w14:textId="6D0DA9D7"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The Greek Ombudsman (2012) </w:t>
      </w:r>
      <w:r w:rsidRPr="00F50E2F">
        <w:rPr>
          <w:rFonts w:cs="Arial"/>
          <w:i/>
        </w:rPr>
        <w:t>Parallel Report of the Greek Ombudsman to the UN CRC</w:t>
      </w:r>
      <w:r w:rsidRPr="00F50E2F">
        <w:rPr>
          <w:rFonts w:cs="Arial"/>
        </w:rPr>
        <w:t xml:space="preserve"> p. 12; Also cited in ANED 2015 EU2020 Greece Country Report p. 27.</w:t>
      </w:r>
    </w:p>
  </w:footnote>
  <w:footnote w:id="78">
    <w:p w14:paraId="3FB11983" w14:textId="7B52F98B"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t>A set of specific actions are put forward by the disability activist group “Zero Tolerance” (</w:t>
      </w:r>
      <w:hyperlink r:id="rId40" w:history="1">
        <w:r w:rsidRPr="00F50E2F">
          <w:rPr>
            <w:rStyle w:val="Hyperlink"/>
            <w:rFonts w:eastAsiaTheme="majorEastAsia" w:cs="Arial"/>
          </w:rPr>
          <w:t>https://www.facebook.com/mideniki.anoxi/</w:t>
        </w:r>
      </w:hyperlink>
      <w:r w:rsidRPr="00F50E2F">
        <w:rPr>
          <w:rFonts w:cs="Arial"/>
        </w:rPr>
        <w:t>) which led mobilization on the issue of deinstitutionali</w:t>
      </w:r>
      <w:r w:rsidR="00F50E2F" w:rsidRPr="00F50E2F">
        <w:rPr>
          <w:rFonts w:cs="Arial"/>
        </w:rPr>
        <w:t>s</w:t>
      </w:r>
      <w:r w:rsidRPr="00F50E2F">
        <w:rPr>
          <w:rFonts w:cs="Arial"/>
        </w:rPr>
        <w:t>ation on 4</w:t>
      </w:r>
      <w:r w:rsidRPr="00F50E2F">
        <w:rPr>
          <w:rFonts w:cs="Arial"/>
          <w:vertAlign w:val="superscript"/>
        </w:rPr>
        <w:t>th</w:t>
      </w:r>
      <w:r w:rsidRPr="00F50E2F">
        <w:rPr>
          <w:rFonts w:cs="Arial"/>
        </w:rPr>
        <w:t xml:space="preserve"> November 2015 initially by a 4 - day symbolic occupation at the institution of </w:t>
      </w:r>
      <w:proofErr w:type="spellStart"/>
      <w:r w:rsidRPr="00F50E2F">
        <w:rPr>
          <w:rFonts w:cs="Arial"/>
        </w:rPr>
        <w:t>Lechaina</w:t>
      </w:r>
      <w:proofErr w:type="spellEnd"/>
      <w:r w:rsidRPr="00F50E2F">
        <w:rPr>
          <w:rFonts w:cs="Arial"/>
        </w:rPr>
        <w:t>, demanding immediate government intervention for improving the living conditions of disabled children and adults living there and abolishment of institutionalized care.</w:t>
      </w:r>
    </w:p>
  </w:footnote>
  <w:footnote w:id="79">
    <w:p w14:paraId="35B90F5D" w14:textId="65A8A1EB" w:rsidR="005B1FE7" w:rsidRPr="00F50E2F" w:rsidRDefault="005B1FE7" w:rsidP="000844FE">
      <w:pPr>
        <w:pStyle w:val="FootnoteText"/>
        <w:ind w:left="284" w:hanging="284"/>
        <w:jc w:val="left"/>
        <w:rPr>
          <w:rFonts w:cs="Arial"/>
        </w:rPr>
      </w:pPr>
      <w:r w:rsidRPr="00F50E2F">
        <w:rPr>
          <w:rStyle w:val="FootnoteReference"/>
          <w:rFonts w:eastAsiaTheme="majorEastAsia" w:cs="Arial"/>
        </w:rPr>
        <w:footnoteRef/>
      </w:r>
      <w:r w:rsidRPr="00F50E2F">
        <w:rPr>
          <w:rFonts w:cs="Arial"/>
        </w:rPr>
        <w:t xml:space="preserve"> </w:t>
      </w:r>
      <w:r w:rsidRPr="00F50E2F">
        <w:rPr>
          <w:rFonts w:cs="Arial"/>
        </w:rPr>
        <w:tab/>
      </w:r>
      <w:hyperlink r:id="rId41" w:history="1">
        <w:r w:rsidRPr="00F50E2F">
          <w:rPr>
            <w:rStyle w:val="Hyperlink"/>
            <w:rFonts w:eastAsiaTheme="majorEastAsia" w:cs="Arial"/>
          </w:rPr>
          <w:t>https://m.youtube.com/watch?v=sJJ__PhQMU0</w:t>
        </w:r>
      </w:hyperlink>
      <w:r w:rsidR="00C105A4">
        <w:rPr>
          <w:rStyle w:val="Hyperlink"/>
          <w:rFonts w:eastAsiaTheme="majorEastAsia" w:cs="Arial"/>
          <w:u w:val="none"/>
        </w:rPr>
        <w:t>.</w:t>
      </w:r>
      <w:r w:rsidRPr="00F50E2F">
        <w:rPr>
          <w:rFonts w:cs="Arial"/>
        </w:rPr>
        <w:t xml:space="preserve"> </w:t>
      </w:r>
    </w:p>
  </w:footnote>
  <w:footnote w:id="80">
    <w:p w14:paraId="6A5B9F5E" w14:textId="0FC72319"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r>
      <w:hyperlink r:id="rId42" w:history="1">
        <w:r w:rsidRPr="00F50E2F">
          <w:rPr>
            <w:rStyle w:val="Hyperlink"/>
            <w:rFonts w:cs="Arial"/>
          </w:rPr>
          <w:t>https://www.wearelumos.org/where-we-work/greece/</w:t>
        </w:r>
      </w:hyperlink>
      <w:r w:rsidR="00C105A4">
        <w:rPr>
          <w:rStyle w:val="Hyperlink"/>
          <w:rFonts w:cs="Arial"/>
          <w:u w:val="none"/>
        </w:rPr>
        <w:t>.</w:t>
      </w:r>
    </w:p>
  </w:footnote>
  <w:footnote w:id="81">
    <w:p w14:paraId="19D96E0D" w14:textId="3606CA7D"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Lumos (2016) Strategic Review of the situation of vulnerable children in Greece Executive Summary (please note the full report is considered an internal document and cannot be shared/ published).</w:t>
      </w:r>
    </w:p>
  </w:footnote>
  <w:footnote w:id="82">
    <w:p w14:paraId="161F4D03" w14:textId="49DF2706"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Lumos (2016) Strategic Review of the situation of vulnerable children in Greece Executive Summary.</w:t>
      </w:r>
    </w:p>
  </w:footnote>
  <w:footnote w:id="83">
    <w:p w14:paraId="1937E06C" w14:textId="21118736"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Lumos (2016) Strategic Review of the situation of vulnerable children in Greece Executive Summary</w:t>
      </w:r>
      <w:r w:rsidR="007D5E47" w:rsidRPr="00F50E2F">
        <w:rPr>
          <w:rFonts w:cs="Arial"/>
        </w:rPr>
        <w:t xml:space="preserve"> (p.4)</w:t>
      </w:r>
      <w:r w:rsidRPr="00F50E2F">
        <w:rPr>
          <w:rFonts w:cs="Arial"/>
        </w:rPr>
        <w:t xml:space="preserve">. </w:t>
      </w:r>
    </w:p>
  </w:footnote>
  <w:footnote w:id="84">
    <w:p w14:paraId="057A7706" w14:textId="018F893B"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 xml:space="preserve">The European Network of Ombudspersons for Children (2011) The rights of children living in institutions. Greece cited in Institute of Child Health (2017) The child institutional abuse: current knowledge and practices Greece Report SASCA Research Project (p. 9) </w:t>
      </w:r>
      <w:hyperlink r:id="rId43" w:history="1">
        <w:r w:rsidRPr="00F50E2F">
          <w:rPr>
            <w:rStyle w:val="Hyperlink"/>
            <w:rFonts w:cs="Arial"/>
          </w:rPr>
          <w:t>http://www.sasca.eu/archives/project-documents/</w:t>
        </w:r>
      </w:hyperlink>
      <w:r w:rsidR="00C105A4">
        <w:rPr>
          <w:rStyle w:val="Hyperlink"/>
          <w:rFonts w:cs="Arial"/>
          <w:u w:val="none"/>
        </w:rPr>
        <w:t>.</w:t>
      </w:r>
      <w:r w:rsidRPr="00F50E2F">
        <w:rPr>
          <w:rFonts w:cs="Arial"/>
        </w:rPr>
        <w:t xml:space="preserve"> </w:t>
      </w:r>
    </w:p>
  </w:footnote>
  <w:footnote w:id="85">
    <w:p w14:paraId="51207C10" w14:textId="6772FF05"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Institute of Child Health (2017) The child institutional abuse: current knowledge and practices Greece Report SASCA Research Project p.12.</w:t>
      </w:r>
    </w:p>
  </w:footnote>
  <w:footnote w:id="86">
    <w:p w14:paraId="413F16D0" w14:textId="05E619A8"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Institute of Child Health (2017) The child institutional abuse: current knowledge and practices Greece Report SASCA Research Project p. 14.</w:t>
      </w:r>
    </w:p>
  </w:footnote>
  <w:footnote w:id="87">
    <w:p w14:paraId="3E1F6E73" w14:textId="3E7ABE5F"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Pr="00F50E2F">
        <w:rPr>
          <w:rFonts w:cs="Arial"/>
        </w:rPr>
        <w:tab/>
        <w:t>Institute of Child Health (2017) The child institutional abuse: current knowledge and practices Greece Report SASCA Research Project.</w:t>
      </w:r>
    </w:p>
  </w:footnote>
  <w:footnote w:id="88">
    <w:p w14:paraId="77C5C4EF" w14:textId="2C32678C"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007D5E47" w:rsidRPr="00F50E2F">
        <w:rPr>
          <w:rFonts w:cs="Arial"/>
        </w:rPr>
        <w:tab/>
      </w:r>
      <w:r w:rsidRPr="00F50E2F">
        <w:rPr>
          <w:rFonts w:cs="Arial"/>
        </w:rPr>
        <w:t>Lumos (2016) Strategic Review of the situation of vulnerable children in Greece Executive Summary (p.4)</w:t>
      </w:r>
      <w:r w:rsidR="007D5E47" w:rsidRPr="00F50E2F">
        <w:rPr>
          <w:rFonts w:cs="Arial"/>
        </w:rPr>
        <w:t>.</w:t>
      </w:r>
    </w:p>
  </w:footnote>
  <w:footnote w:id="89">
    <w:p w14:paraId="4A307D61" w14:textId="3CA49D6D"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007D5E47" w:rsidRPr="00F50E2F">
        <w:rPr>
          <w:rFonts w:cs="Arial"/>
        </w:rPr>
        <w:tab/>
      </w:r>
      <w:r w:rsidRPr="00F50E2F">
        <w:rPr>
          <w:rFonts w:cs="Arial"/>
        </w:rPr>
        <w:t>Lumos (2016) Strategic Review of the situation of vulnerable children in Greece Executive Summary (p.4)</w:t>
      </w:r>
      <w:r w:rsidR="007D5E47" w:rsidRPr="00F50E2F">
        <w:rPr>
          <w:rFonts w:cs="Arial"/>
        </w:rPr>
        <w:t>.</w:t>
      </w:r>
    </w:p>
  </w:footnote>
  <w:footnote w:id="90">
    <w:p w14:paraId="706CF9BA" w14:textId="120DB009" w:rsidR="005B1FE7" w:rsidRPr="00F50E2F"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007D5E47" w:rsidRPr="00F50E2F">
        <w:rPr>
          <w:rFonts w:cs="Arial"/>
        </w:rPr>
        <w:tab/>
      </w:r>
      <w:r w:rsidRPr="00F50E2F">
        <w:rPr>
          <w:rFonts w:cs="Arial"/>
        </w:rPr>
        <w:t>Lumos (2016) Strategic Review of the situation of vulnerable children in Greece Executive Summary (p.4)</w:t>
      </w:r>
      <w:r w:rsidR="007D5E47" w:rsidRPr="00F50E2F">
        <w:rPr>
          <w:rFonts w:cs="Arial"/>
        </w:rPr>
        <w:t>.</w:t>
      </w:r>
    </w:p>
  </w:footnote>
  <w:footnote w:id="91">
    <w:p w14:paraId="6F1CE43D" w14:textId="0ABE6D32" w:rsidR="005B1FE7" w:rsidRPr="00C105A4" w:rsidRDefault="005B1FE7" w:rsidP="000844FE">
      <w:pPr>
        <w:pStyle w:val="FootnoteText"/>
        <w:ind w:left="284" w:hanging="284"/>
        <w:jc w:val="left"/>
        <w:rPr>
          <w:rFonts w:cs="Arial"/>
        </w:rPr>
      </w:pPr>
      <w:r w:rsidRPr="00F50E2F">
        <w:rPr>
          <w:rStyle w:val="FootnoteReference"/>
          <w:rFonts w:cs="Arial"/>
        </w:rPr>
        <w:footnoteRef/>
      </w:r>
      <w:r w:rsidRPr="00F50E2F">
        <w:rPr>
          <w:rFonts w:cs="Arial"/>
        </w:rPr>
        <w:t xml:space="preserve"> </w:t>
      </w:r>
      <w:r w:rsidR="007D5E47" w:rsidRPr="00F50E2F">
        <w:rPr>
          <w:rFonts w:cs="Arial"/>
        </w:rPr>
        <w:tab/>
      </w:r>
      <w:r w:rsidRPr="00F50E2F">
        <w:rPr>
          <w:rFonts w:cs="Arial"/>
        </w:rPr>
        <w:t xml:space="preserve">European Expert Group on the Transition from Institutional Care to Community Based Living (2014) Toolkit on the use of European Union Funds for the transition from institutional to community based care </w:t>
      </w:r>
      <w:hyperlink r:id="rId44" w:history="1">
        <w:r w:rsidRPr="00F50E2F">
          <w:rPr>
            <w:rStyle w:val="Hyperlink"/>
            <w:rFonts w:cs="Arial"/>
          </w:rPr>
          <w:t>http://enil.eu/wp-content/uploads/2014/07/Toolkit-07-01-2014-WEB.pdf</w:t>
        </w:r>
      </w:hyperlink>
      <w:r w:rsidR="00C105A4">
        <w:rPr>
          <w:rStyle w:val="Hyperlink"/>
          <w:rFonts w:cs="Arial"/>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E075" w14:textId="408A5A11" w:rsidR="005B1FE7" w:rsidRDefault="005B1FE7" w:rsidP="00D9246D">
    <w:pPr>
      <w:pStyle w:val="Header"/>
      <w:tabs>
        <w:tab w:val="clear" w:pos="9072"/>
        <w:tab w:val="right" w:pos="9063"/>
      </w:tabs>
    </w:pPr>
  </w:p>
  <w:p w14:paraId="16AE1ACA" w14:textId="3FAA6B2E" w:rsidR="005B1FE7" w:rsidRDefault="005B1FE7" w:rsidP="00D9246D">
    <w:pPr>
      <w:pStyle w:val="Header"/>
      <w:tabs>
        <w:tab w:val="clear" w:pos="9072"/>
        <w:tab w:val="right" w:pos="9063"/>
      </w:tabs>
    </w:pPr>
  </w:p>
  <w:p w14:paraId="07DEA69F" w14:textId="03AACC40" w:rsidR="005B1FE7" w:rsidRDefault="005B1FE7" w:rsidP="00D9246D">
    <w:pPr>
      <w:pStyle w:val="Header"/>
      <w:tabs>
        <w:tab w:val="clear" w:pos="9072"/>
        <w:tab w:val="right" w:pos="9063"/>
      </w:tabs>
    </w:pPr>
  </w:p>
  <w:p w14:paraId="4A6A665A" w14:textId="5B4E9A93" w:rsidR="005B1FE7" w:rsidRDefault="005B1FE7" w:rsidP="00A75929">
    <w:pPr>
      <w:pStyle w:val="Header"/>
      <w:tabs>
        <w:tab w:val="clear" w:pos="9072"/>
        <w:tab w:val="right" w:pos="9063"/>
      </w:tabs>
      <w:jc w:val="center"/>
      <w:rPr>
        <w:sz w:val="16"/>
        <w:szCs w:val="16"/>
      </w:rPr>
    </w:pPr>
    <w:r>
      <w:rPr>
        <w:sz w:val="16"/>
        <w:szCs w:val="16"/>
      </w:rPr>
      <w:t>ANED 2018-19 – Living independently and being included in the community – country report</w:t>
    </w:r>
  </w:p>
  <w:p w14:paraId="61332102" w14:textId="5BBDF64B" w:rsidR="005B1FE7" w:rsidRPr="00A75929" w:rsidRDefault="00C105A4" w:rsidP="00A75929">
    <w:pPr>
      <w:pStyle w:val="Header"/>
      <w:tabs>
        <w:tab w:val="clear" w:pos="9072"/>
        <w:tab w:val="right" w:pos="9063"/>
      </w:tabs>
      <w:jc w:val="center"/>
      <w:rPr>
        <w:sz w:val="16"/>
        <w:szCs w:val="16"/>
      </w:rPr>
    </w:pPr>
    <w:r>
      <w:rPr>
        <w:sz w:val="16"/>
        <w:szCs w:val="16"/>
      </w:rPr>
      <w:pict w14:anchorId="219E893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4E0"/>
    <w:multiLevelType w:val="multilevel"/>
    <w:tmpl w:val="D03AE0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CE58DD"/>
    <w:multiLevelType w:val="multilevel"/>
    <w:tmpl w:val="8A0217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3566"/>
    <w:multiLevelType w:val="hybridMultilevel"/>
    <w:tmpl w:val="DCE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B86"/>
    <w:multiLevelType w:val="hybridMultilevel"/>
    <w:tmpl w:val="D2EEABCA"/>
    <w:lvl w:ilvl="0" w:tplc="C5A02C6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1839EC"/>
    <w:multiLevelType w:val="multilevel"/>
    <w:tmpl w:val="B502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C068CE"/>
    <w:multiLevelType w:val="hybridMultilevel"/>
    <w:tmpl w:val="EC144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12C20"/>
    <w:multiLevelType w:val="hybridMultilevel"/>
    <w:tmpl w:val="127692D8"/>
    <w:lvl w:ilvl="0" w:tplc="D570BB90">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7" w15:restartNumberingAfterBreak="0">
    <w:nsid w:val="23D96AA7"/>
    <w:multiLevelType w:val="hybridMultilevel"/>
    <w:tmpl w:val="A7EA264C"/>
    <w:lvl w:ilvl="0" w:tplc="26FAA5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E566AF"/>
    <w:multiLevelType w:val="hybridMultilevel"/>
    <w:tmpl w:val="BB309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717CC5"/>
    <w:multiLevelType w:val="multilevel"/>
    <w:tmpl w:val="5772329A"/>
    <w:lvl w:ilvl="0">
      <w:start w:val="4"/>
      <w:numFmt w:val="decimal"/>
      <w:lvlText w:val="%1."/>
      <w:lvlJc w:val="left"/>
      <w:pPr>
        <w:ind w:left="927" w:hanging="360"/>
      </w:pPr>
      <w:rPr>
        <w:rFonts w:hint="default"/>
      </w:rPr>
    </w:lvl>
    <w:lvl w:ilvl="1">
      <w:start w:val="2"/>
      <w:numFmt w:val="decimal"/>
      <w:isLgl/>
      <w:lvlText w:val="%1.%2"/>
      <w:lvlJc w:val="left"/>
      <w:pPr>
        <w:ind w:left="1127" w:hanging="5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D9574EE"/>
    <w:multiLevelType w:val="hybridMultilevel"/>
    <w:tmpl w:val="01625C86"/>
    <w:lvl w:ilvl="0" w:tplc="ED28D8E2">
      <w:start w:val="1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3597A"/>
    <w:multiLevelType w:val="hybridMultilevel"/>
    <w:tmpl w:val="D478AFF2"/>
    <w:lvl w:ilvl="0" w:tplc="26FAA518">
      <w:start w:val="1"/>
      <w:numFmt w:val="bullet"/>
      <w:lvlText w:val=""/>
      <w:lvlJc w:val="left"/>
      <w:pPr>
        <w:ind w:left="720" w:hanging="360"/>
      </w:pPr>
      <w:rPr>
        <w:rFonts w:ascii="Symbol" w:hAnsi="Symbol" w:hint="default"/>
      </w:rPr>
    </w:lvl>
    <w:lvl w:ilvl="1" w:tplc="26FAA518">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7119C"/>
    <w:multiLevelType w:val="hybridMultilevel"/>
    <w:tmpl w:val="603EA08C"/>
    <w:lvl w:ilvl="0" w:tplc="B16030CA">
      <w:start w:val="1"/>
      <w:numFmt w:val="bullet"/>
      <w:pStyle w:val="opsomming"/>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8653A68"/>
    <w:multiLevelType w:val="hybridMultilevel"/>
    <w:tmpl w:val="B43AA158"/>
    <w:lvl w:ilvl="0" w:tplc="4DAADB42">
      <w:start w:val="1"/>
      <w:numFmt w:val="bullet"/>
      <w:pStyle w:val="ListDash"/>
      <w:lvlText w:val="­"/>
      <w:lvlJc w:val="left"/>
      <w:pPr>
        <w:ind w:left="-612" w:hanging="360"/>
      </w:pPr>
      <w:rPr>
        <w:rFonts w:ascii="Times New Roman" w:hAnsi="Times New Roman" w:cs="Times New Roman" w:hint="default"/>
      </w:rPr>
    </w:lvl>
    <w:lvl w:ilvl="1" w:tplc="04090003" w:tentative="1">
      <w:start w:val="1"/>
      <w:numFmt w:val="bullet"/>
      <w:lvlText w:val="o"/>
      <w:lvlJc w:val="left"/>
      <w:pPr>
        <w:ind w:left="108" w:hanging="360"/>
      </w:pPr>
      <w:rPr>
        <w:rFonts w:ascii="Courier New" w:hAnsi="Courier New" w:hint="default"/>
      </w:rPr>
    </w:lvl>
    <w:lvl w:ilvl="2" w:tplc="04090005" w:tentative="1">
      <w:start w:val="1"/>
      <w:numFmt w:val="bullet"/>
      <w:lvlText w:val=""/>
      <w:lvlJc w:val="left"/>
      <w:pPr>
        <w:ind w:left="828" w:hanging="360"/>
      </w:pPr>
      <w:rPr>
        <w:rFonts w:ascii="Wingdings" w:hAnsi="Wingdings" w:hint="default"/>
      </w:rPr>
    </w:lvl>
    <w:lvl w:ilvl="3" w:tplc="04090001" w:tentative="1">
      <w:start w:val="1"/>
      <w:numFmt w:val="bullet"/>
      <w:lvlText w:val=""/>
      <w:lvlJc w:val="left"/>
      <w:pPr>
        <w:ind w:left="1548" w:hanging="360"/>
      </w:pPr>
      <w:rPr>
        <w:rFonts w:ascii="Symbol" w:hAnsi="Symbol" w:hint="default"/>
      </w:rPr>
    </w:lvl>
    <w:lvl w:ilvl="4" w:tplc="04090003" w:tentative="1">
      <w:start w:val="1"/>
      <w:numFmt w:val="bullet"/>
      <w:lvlText w:val="o"/>
      <w:lvlJc w:val="left"/>
      <w:pPr>
        <w:ind w:left="2268" w:hanging="360"/>
      </w:pPr>
      <w:rPr>
        <w:rFonts w:ascii="Courier New" w:hAnsi="Courier New" w:hint="default"/>
      </w:rPr>
    </w:lvl>
    <w:lvl w:ilvl="5" w:tplc="04090005" w:tentative="1">
      <w:start w:val="1"/>
      <w:numFmt w:val="bullet"/>
      <w:lvlText w:val=""/>
      <w:lvlJc w:val="left"/>
      <w:pPr>
        <w:ind w:left="2988" w:hanging="360"/>
      </w:pPr>
      <w:rPr>
        <w:rFonts w:ascii="Wingdings" w:hAnsi="Wingdings" w:hint="default"/>
      </w:rPr>
    </w:lvl>
    <w:lvl w:ilvl="6" w:tplc="04090001" w:tentative="1">
      <w:start w:val="1"/>
      <w:numFmt w:val="bullet"/>
      <w:lvlText w:val=""/>
      <w:lvlJc w:val="left"/>
      <w:pPr>
        <w:ind w:left="3708" w:hanging="360"/>
      </w:pPr>
      <w:rPr>
        <w:rFonts w:ascii="Symbol" w:hAnsi="Symbol" w:hint="default"/>
      </w:rPr>
    </w:lvl>
    <w:lvl w:ilvl="7" w:tplc="04090003" w:tentative="1">
      <w:start w:val="1"/>
      <w:numFmt w:val="bullet"/>
      <w:lvlText w:val="o"/>
      <w:lvlJc w:val="left"/>
      <w:pPr>
        <w:ind w:left="4428" w:hanging="360"/>
      </w:pPr>
      <w:rPr>
        <w:rFonts w:ascii="Courier New" w:hAnsi="Courier New" w:hint="default"/>
      </w:rPr>
    </w:lvl>
    <w:lvl w:ilvl="8" w:tplc="04090005" w:tentative="1">
      <w:start w:val="1"/>
      <w:numFmt w:val="bullet"/>
      <w:lvlText w:val=""/>
      <w:lvlJc w:val="left"/>
      <w:pPr>
        <w:ind w:left="5148" w:hanging="360"/>
      </w:pPr>
      <w:rPr>
        <w:rFonts w:ascii="Wingdings" w:hAnsi="Wingdings" w:hint="default"/>
      </w:rPr>
    </w:lvl>
  </w:abstractNum>
  <w:abstractNum w:abstractNumId="14" w15:restartNumberingAfterBreak="0">
    <w:nsid w:val="3AF7458F"/>
    <w:multiLevelType w:val="multilevel"/>
    <w:tmpl w:val="97CC1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060CA0"/>
    <w:multiLevelType w:val="hybridMultilevel"/>
    <w:tmpl w:val="180E556C"/>
    <w:lvl w:ilvl="0" w:tplc="B5A866B8">
      <w:start w:val="15"/>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F56900"/>
    <w:multiLevelType w:val="hybridMultilevel"/>
    <w:tmpl w:val="EBAA93E2"/>
    <w:lvl w:ilvl="0" w:tplc="4FE0C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89A"/>
    <w:multiLevelType w:val="multilevel"/>
    <w:tmpl w:val="8B88865E"/>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5F0347"/>
    <w:multiLevelType w:val="hybridMultilevel"/>
    <w:tmpl w:val="B23A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62572"/>
    <w:multiLevelType w:val="multilevel"/>
    <w:tmpl w:val="DF985D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D0545E5"/>
    <w:multiLevelType w:val="hybridMultilevel"/>
    <w:tmpl w:val="BDCCD862"/>
    <w:lvl w:ilvl="0" w:tplc="F4DAF6B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F673F"/>
    <w:multiLevelType w:val="hybridMultilevel"/>
    <w:tmpl w:val="43743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45193"/>
    <w:multiLevelType w:val="hybridMultilevel"/>
    <w:tmpl w:val="58308CEA"/>
    <w:lvl w:ilvl="0" w:tplc="26FAA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533B0"/>
    <w:multiLevelType w:val="hybridMultilevel"/>
    <w:tmpl w:val="E7B006D2"/>
    <w:lvl w:ilvl="0" w:tplc="B7C8FE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F5BC0"/>
    <w:multiLevelType w:val="hybridMultilevel"/>
    <w:tmpl w:val="F0AEFB24"/>
    <w:lvl w:ilvl="0" w:tplc="9DB6D3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C71F42"/>
    <w:multiLevelType w:val="hybridMultilevel"/>
    <w:tmpl w:val="DD00E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5A1363"/>
    <w:multiLevelType w:val="multilevel"/>
    <w:tmpl w:val="65DAF1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6C414C"/>
    <w:multiLevelType w:val="hybridMultilevel"/>
    <w:tmpl w:val="164E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F357E"/>
    <w:multiLevelType w:val="hybridMultilevel"/>
    <w:tmpl w:val="638EB332"/>
    <w:lvl w:ilvl="0" w:tplc="EA2C225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446FE"/>
    <w:multiLevelType w:val="hybridMultilevel"/>
    <w:tmpl w:val="6E623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DB1068"/>
    <w:multiLevelType w:val="hybridMultilevel"/>
    <w:tmpl w:val="6FA8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A0BA6"/>
    <w:multiLevelType w:val="multilevel"/>
    <w:tmpl w:val="D50E01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BBC2A35"/>
    <w:multiLevelType w:val="hybridMultilevel"/>
    <w:tmpl w:val="0BAAC7AE"/>
    <w:lvl w:ilvl="0" w:tplc="356AA9F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B224B"/>
    <w:multiLevelType w:val="multilevel"/>
    <w:tmpl w:val="BAC802AA"/>
    <w:lvl w:ilvl="0">
      <w:start w:val="1"/>
      <w:numFmt w:val="decimal"/>
      <w:lvlText w:val="%1"/>
      <w:lvlJc w:val="left"/>
      <w:pPr>
        <w:ind w:left="36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B02E5B"/>
    <w:multiLevelType w:val="hybridMultilevel"/>
    <w:tmpl w:val="2D7A016C"/>
    <w:lvl w:ilvl="0" w:tplc="F71A5F44">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0"/>
  </w:num>
  <w:num w:numId="6">
    <w:abstractNumId w:val="13"/>
  </w:num>
  <w:num w:numId="7">
    <w:abstractNumId w:val="31"/>
  </w:num>
  <w:num w:numId="8">
    <w:abstractNumId w:val="24"/>
  </w:num>
  <w:num w:numId="9">
    <w:abstractNumId w:val="29"/>
  </w:num>
  <w:num w:numId="10">
    <w:abstractNumId w:val="3"/>
  </w:num>
  <w:num w:numId="11">
    <w:abstractNumId w:val="4"/>
  </w:num>
  <w:num w:numId="12">
    <w:abstractNumId w:val="0"/>
    <w:lvlOverride w:ilvl="0">
      <w:startOverride w:val="1"/>
    </w:lvlOverride>
    <w:lvlOverride w:ilvl="1">
      <w:startOverride w:val="1"/>
    </w:lvlOverride>
  </w:num>
  <w:num w:numId="13">
    <w:abstractNumId w:val="16"/>
  </w:num>
  <w:num w:numId="14">
    <w:abstractNumId w:val="19"/>
  </w:num>
  <w:num w:numId="15">
    <w:abstractNumId w:val="25"/>
  </w:num>
  <w:num w:numId="16">
    <w:abstractNumId w:val="11"/>
  </w:num>
  <w:num w:numId="17">
    <w:abstractNumId w:val="14"/>
  </w:num>
  <w:num w:numId="18">
    <w:abstractNumId w:val="23"/>
  </w:num>
  <w:num w:numId="19">
    <w:abstractNumId w:val="17"/>
  </w:num>
  <w:num w:numId="20">
    <w:abstractNumId w:val="7"/>
  </w:num>
  <w:num w:numId="21">
    <w:abstractNumId w:val="34"/>
  </w:num>
  <w:num w:numId="22">
    <w:abstractNumId w:val="9"/>
  </w:num>
  <w:num w:numId="23">
    <w:abstractNumId w:val="34"/>
    <w:lvlOverride w:ilvl="0">
      <w:startOverride w:val="5"/>
    </w:lvlOverride>
  </w:num>
  <w:num w:numId="24">
    <w:abstractNumId w:val="12"/>
  </w:num>
  <w:num w:numId="25">
    <w:abstractNumId w:val="35"/>
  </w:num>
  <w:num w:numId="26">
    <w:abstractNumId w:val="15"/>
  </w:num>
  <w:num w:numId="27">
    <w:abstractNumId w:val="34"/>
    <w:lvlOverride w:ilvl="0">
      <w:startOverride w:val="6"/>
    </w:lvlOverride>
    <w:lvlOverride w:ilvl="1">
      <w:startOverride w:val="2"/>
    </w:lvlOverride>
  </w:num>
  <w:num w:numId="28">
    <w:abstractNumId w:val="27"/>
  </w:num>
  <w:num w:numId="29">
    <w:abstractNumId w:val="34"/>
    <w:lvlOverride w:ilvl="0">
      <w:startOverride w:val="1"/>
    </w:lvlOverride>
    <w:lvlOverride w:ilvl="1">
      <w:startOverride w:val="2"/>
    </w:lvlOverride>
    <w:lvlOverride w:ilvl="2">
      <w:startOverride w:val="1"/>
    </w:lvlOverride>
  </w:num>
  <w:num w:numId="30">
    <w:abstractNumId w:val="8"/>
  </w:num>
  <w:num w:numId="31">
    <w:abstractNumId w:val="26"/>
  </w:num>
  <w:num w:numId="32">
    <w:abstractNumId w:val="34"/>
    <w:lvlOverride w:ilvl="0">
      <w:startOverride w:val="1"/>
    </w:lvlOverride>
  </w:num>
  <w:num w:numId="33">
    <w:abstractNumId w:val="22"/>
  </w:num>
  <w:num w:numId="34">
    <w:abstractNumId w:val="10"/>
  </w:num>
  <w:num w:numId="35">
    <w:abstractNumId w:val="32"/>
  </w:num>
  <w:num w:numId="36">
    <w:abstractNumId w:val="6"/>
  </w:num>
  <w:num w:numId="37">
    <w:abstractNumId w:val="5"/>
  </w:num>
  <w:num w:numId="38">
    <w:abstractNumId w:val="2"/>
  </w:num>
  <w:num w:numId="39">
    <w:abstractNumId w:val="30"/>
  </w:num>
  <w:num w:numId="40">
    <w:abstractNumId w:val="18"/>
  </w:num>
  <w:num w:numId="41">
    <w:abstractNumId w:val="21"/>
  </w:num>
  <w:num w:numId="42">
    <w:abstractNumId w:val="33"/>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A8"/>
    <w:rsid w:val="00003D7E"/>
    <w:rsid w:val="00010C0C"/>
    <w:rsid w:val="0002056F"/>
    <w:rsid w:val="0002470C"/>
    <w:rsid w:val="0003197A"/>
    <w:rsid w:val="000349A6"/>
    <w:rsid w:val="00034BDC"/>
    <w:rsid w:val="000356A9"/>
    <w:rsid w:val="0004157F"/>
    <w:rsid w:val="00042D69"/>
    <w:rsid w:val="00045BE6"/>
    <w:rsid w:val="000464F7"/>
    <w:rsid w:val="000474AF"/>
    <w:rsid w:val="00061A17"/>
    <w:rsid w:val="00061CBD"/>
    <w:rsid w:val="000622FA"/>
    <w:rsid w:val="00064FF0"/>
    <w:rsid w:val="00066073"/>
    <w:rsid w:val="000660FC"/>
    <w:rsid w:val="00070AFF"/>
    <w:rsid w:val="00072A12"/>
    <w:rsid w:val="00073049"/>
    <w:rsid w:val="00075499"/>
    <w:rsid w:val="00075951"/>
    <w:rsid w:val="000844FE"/>
    <w:rsid w:val="00090AA2"/>
    <w:rsid w:val="00090CCE"/>
    <w:rsid w:val="00094A8F"/>
    <w:rsid w:val="0009550A"/>
    <w:rsid w:val="000A4E8B"/>
    <w:rsid w:val="000B2794"/>
    <w:rsid w:val="000B32A7"/>
    <w:rsid w:val="000B399A"/>
    <w:rsid w:val="000C0047"/>
    <w:rsid w:val="000C077C"/>
    <w:rsid w:val="000D26BE"/>
    <w:rsid w:val="000D694B"/>
    <w:rsid w:val="000D69A2"/>
    <w:rsid w:val="000E1344"/>
    <w:rsid w:val="000E20F9"/>
    <w:rsid w:val="000F0412"/>
    <w:rsid w:val="000F06D8"/>
    <w:rsid w:val="000F13F0"/>
    <w:rsid w:val="000F684D"/>
    <w:rsid w:val="000F6EE3"/>
    <w:rsid w:val="000F77D8"/>
    <w:rsid w:val="00100AD3"/>
    <w:rsid w:val="00107B86"/>
    <w:rsid w:val="001129FB"/>
    <w:rsid w:val="00112AE1"/>
    <w:rsid w:val="00117965"/>
    <w:rsid w:val="001200A4"/>
    <w:rsid w:val="00120F42"/>
    <w:rsid w:val="00125301"/>
    <w:rsid w:val="001268F5"/>
    <w:rsid w:val="001317FB"/>
    <w:rsid w:val="001356B6"/>
    <w:rsid w:val="00136BE7"/>
    <w:rsid w:val="001373AB"/>
    <w:rsid w:val="00141E6E"/>
    <w:rsid w:val="00142FBE"/>
    <w:rsid w:val="00147555"/>
    <w:rsid w:val="00160285"/>
    <w:rsid w:val="00161B5E"/>
    <w:rsid w:val="001629C2"/>
    <w:rsid w:val="00162FCF"/>
    <w:rsid w:val="00165E55"/>
    <w:rsid w:val="001675DA"/>
    <w:rsid w:val="001713F6"/>
    <w:rsid w:val="00173EF0"/>
    <w:rsid w:val="00175581"/>
    <w:rsid w:val="00177262"/>
    <w:rsid w:val="0017733F"/>
    <w:rsid w:val="0018027B"/>
    <w:rsid w:val="00180DF1"/>
    <w:rsid w:val="00181E45"/>
    <w:rsid w:val="001846E4"/>
    <w:rsid w:val="00191463"/>
    <w:rsid w:val="00192941"/>
    <w:rsid w:val="00193BD5"/>
    <w:rsid w:val="00194875"/>
    <w:rsid w:val="0019596C"/>
    <w:rsid w:val="001A4CED"/>
    <w:rsid w:val="001B0068"/>
    <w:rsid w:val="001B1543"/>
    <w:rsid w:val="001B1580"/>
    <w:rsid w:val="001B548E"/>
    <w:rsid w:val="001C1D0C"/>
    <w:rsid w:val="001D0475"/>
    <w:rsid w:val="001D45F1"/>
    <w:rsid w:val="001E06BC"/>
    <w:rsid w:val="001E34DA"/>
    <w:rsid w:val="001E46AC"/>
    <w:rsid w:val="001E5FF2"/>
    <w:rsid w:val="001F0FB3"/>
    <w:rsid w:val="001F1BA0"/>
    <w:rsid w:val="001F29C7"/>
    <w:rsid w:val="001F2A5B"/>
    <w:rsid w:val="001F5B87"/>
    <w:rsid w:val="002018B8"/>
    <w:rsid w:val="00204769"/>
    <w:rsid w:val="00205446"/>
    <w:rsid w:val="00206569"/>
    <w:rsid w:val="00206F59"/>
    <w:rsid w:val="00207D68"/>
    <w:rsid w:val="00212E26"/>
    <w:rsid w:val="002169B5"/>
    <w:rsid w:val="00222A68"/>
    <w:rsid w:val="00223024"/>
    <w:rsid w:val="00226C74"/>
    <w:rsid w:val="002313D3"/>
    <w:rsid w:val="00240608"/>
    <w:rsid w:val="002407D8"/>
    <w:rsid w:val="00241585"/>
    <w:rsid w:val="002438C0"/>
    <w:rsid w:val="00250E5D"/>
    <w:rsid w:val="00256890"/>
    <w:rsid w:val="00266C32"/>
    <w:rsid w:val="00267087"/>
    <w:rsid w:val="00272387"/>
    <w:rsid w:val="0027749A"/>
    <w:rsid w:val="00277F43"/>
    <w:rsid w:val="00283060"/>
    <w:rsid w:val="0028383F"/>
    <w:rsid w:val="00285241"/>
    <w:rsid w:val="00285C68"/>
    <w:rsid w:val="00287DFC"/>
    <w:rsid w:val="0029474D"/>
    <w:rsid w:val="00296FDF"/>
    <w:rsid w:val="002A343E"/>
    <w:rsid w:val="002A5367"/>
    <w:rsid w:val="002A55BF"/>
    <w:rsid w:val="002A75B1"/>
    <w:rsid w:val="002B3BBA"/>
    <w:rsid w:val="002C2E1B"/>
    <w:rsid w:val="002C52C8"/>
    <w:rsid w:val="002C78B7"/>
    <w:rsid w:val="002C7D23"/>
    <w:rsid w:val="002D5772"/>
    <w:rsid w:val="002E0A31"/>
    <w:rsid w:val="002E3E71"/>
    <w:rsid w:val="002E4565"/>
    <w:rsid w:val="002F04DF"/>
    <w:rsid w:val="002F35EB"/>
    <w:rsid w:val="002F47AC"/>
    <w:rsid w:val="002F6EAC"/>
    <w:rsid w:val="003009D3"/>
    <w:rsid w:val="00310350"/>
    <w:rsid w:val="00310F1C"/>
    <w:rsid w:val="00311C1C"/>
    <w:rsid w:val="00312F87"/>
    <w:rsid w:val="00326722"/>
    <w:rsid w:val="003309CD"/>
    <w:rsid w:val="003358A4"/>
    <w:rsid w:val="00336D85"/>
    <w:rsid w:val="00340E04"/>
    <w:rsid w:val="003435D8"/>
    <w:rsid w:val="00356D34"/>
    <w:rsid w:val="0037036D"/>
    <w:rsid w:val="0037445E"/>
    <w:rsid w:val="00375942"/>
    <w:rsid w:val="00376B86"/>
    <w:rsid w:val="00377489"/>
    <w:rsid w:val="003779BE"/>
    <w:rsid w:val="003910EC"/>
    <w:rsid w:val="0039673F"/>
    <w:rsid w:val="003A4648"/>
    <w:rsid w:val="003A53B1"/>
    <w:rsid w:val="003A5D1B"/>
    <w:rsid w:val="003A60FA"/>
    <w:rsid w:val="003B1415"/>
    <w:rsid w:val="003B37B4"/>
    <w:rsid w:val="003B3B94"/>
    <w:rsid w:val="003B5E51"/>
    <w:rsid w:val="003B72B2"/>
    <w:rsid w:val="003B7B78"/>
    <w:rsid w:val="003C2055"/>
    <w:rsid w:val="003C40FC"/>
    <w:rsid w:val="003C4F29"/>
    <w:rsid w:val="003C5416"/>
    <w:rsid w:val="003C78B7"/>
    <w:rsid w:val="003D5D92"/>
    <w:rsid w:val="003D66B4"/>
    <w:rsid w:val="003D6ABF"/>
    <w:rsid w:val="003E63A0"/>
    <w:rsid w:val="003E7CA4"/>
    <w:rsid w:val="003F1E0B"/>
    <w:rsid w:val="003F6D54"/>
    <w:rsid w:val="00400332"/>
    <w:rsid w:val="004003C5"/>
    <w:rsid w:val="00410F01"/>
    <w:rsid w:val="0041392D"/>
    <w:rsid w:val="0041481D"/>
    <w:rsid w:val="00414FC2"/>
    <w:rsid w:val="00415F7C"/>
    <w:rsid w:val="004166DF"/>
    <w:rsid w:val="00426E70"/>
    <w:rsid w:val="004302D3"/>
    <w:rsid w:val="004324A0"/>
    <w:rsid w:val="00443C06"/>
    <w:rsid w:val="00447E16"/>
    <w:rsid w:val="00451FE6"/>
    <w:rsid w:val="004613D9"/>
    <w:rsid w:val="00463297"/>
    <w:rsid w:val="0046449A"/>
    <w:rsid w:val="004674D7"/>
    <w:rsid w:val="00471294"/>
    <w:rsid w:val="004735B4"/>
    <w:rsid w:val="004766FA"/>
    <w:rsid w:val="00482470"/>
    <w:rsid w:val="00491404"/>
    <w:rsid w:val="004A084A"/>
    <w:rsid w:val="004A0C1D"/>
    <w:rsid w:val="004A0FA1"/>
    <w:rsid w:val="004A1388"/>
    <w:rsid w:val="004A2306"/>
    <w:rsid w:val="004A2B50"/>
    <w:rsid w:val="004A5A3F"/>
    <w:rsid w:val="004B0DA3"/>
    <w:rsid w:val="004B1583"/>
    <w:rsid w:val="004B1C97"/>
    <w:rsid w:val="004C17C5"/>
    <w:rsid w:val="004C312A"/>
    <w:rsid w:val="004C4C2B"/>
    <w:rsid w:val="004C5F94"/>
    <w:rsid w:val="004C6680"/>
    <w:rsid w:val="004D2FA4"/>
    <w:rsid w:val="004E325B"/>
    <w:rsid w:val="004E7EA4"/>
    <w:rsid w:val="004F1E2C"/>
    <w:rsid w:val="004F3D63"/>
    <w:rsid w:val="0050106B"/>
    <w:rsid w:val="0050165C"/>
    <w:rsid w:val="00501A4A"/>
    <w:rsid w:val="00503AAF"/>
    <w:rsid w:val="005072F9"/>
    <w:rsid w:val="00512877"/>
    <w:rsid w:val="00515FC5"/>
    <w:rsid w:val="00520BDD"/>
    <w:rsid w:val="00522918"/>
    <w:rsid w:val="00525413"/>
    <w:rsid w:val="00530185"/>
    <w:rsid w:val="00531377"/>
    <w:rsid w:val="0053202B"/>
    <w:rsid w:val="0053377C"/>
    <w:rsid w:val="005405AE"/>
    <w:rsid w:val="00541D28"/>
    <w:rsid w:val="005462CE"/>
    <w:rsid w:val="00550296"/>
    <w:rsid w:val="005510C4"/>
    <w:rsid w:val="00553F4C"/>
    <w:rsid w:val="00554093"/>
    <w:rsid w:val="0055640A"/>
    <w:rsid w:val="00562530"/>
    <w:rsid w:val="0057195C"/>
    <w:rsid w:val="005757D6"/>
    <w:rsid w:val="00576847"/>
    <w:rsid w:val="0057720D"/>
    <w:rsid w:val="005807DF"/>
    <w:rsid w:val="0058296F"/>
    <w:rsid w:val="00583498"/>
    <w:rsid w:val="00583C6B"/>
    <w:rsid w:val="00585510"/>
    <w:rsid w:val="005877A1"/>
    <w:rsid w:val="0059070D"/>
    <w:rsid w:val="005943D9"/>
    <w:rsid w:val="0059759F"/>
    <w:rsid w:val="005A3568"/>
    <w:rsid w:val="005A70F6"/>
    <w:rsid w:val="005A77C9"/>
    <w:rsid w:val="005A7DF3"/>
    <w:rsid w:val="005A7EC1"/>
    <w:rsid w:val="005B0F75"/>
    <w:rsid w:val="005B1B23"/>
    <w:rsid w:val="005B1FE7"/>
    <w:rsid w:val="005B6570"/>
    <w:rsid w:val="005C129B"/>
    <w:rsid w:val="005C18D5"/>
    <w:rsid w:val="005C411C"/>
    <w:rsid w:val="005C66C2"/>
    <w:rsid w:val="005C688C"/>
    <w:rsid w:val="005D07DC"/>
    <w:rsid w:val="005D12E9"/>
    <w:rsid w:val="005D41B7"/>
    <w:rsid w:val="005D5530"/>
    <w:rsid w:val="005D6F7D"/>
    <w:rsid w:val="005D7FBF"/>
    <w:rsid w:val="005E12AE"/>
    <w:rsid w:val="005E2842"/>
    <w:rsid w:val="005E4078"/>
    <w:rsid w:val="005F2DE8"/>
    <w:rsid w:val="005F4CB2"/>
    <w:rsid w:val="005F7759"/>
    <w:rsid w:val="006047A3"/>
    <w:rsid w:val="00614725"/>
    <w:rsid w:val="00622FC0"/>
    <w:rsid w:val="0062428C"/>
    <w:rsid w:val="0062482A"/>
    <w:rsid w:val="00625BFF"/>
    <w:rsid w:val="00627A66"/>
    <w:rsid w:val="0063152E"/>
    <w:rsid w:val="0063248C"/>
    <w:rsid w:val="00633247"/>
    <w:rsid w:val="00634E17"/>
    <w:rsid w:val="00637150"/>
    <w:rsid w:val="00640003"/>
    <w:rsid w:val="00645284"/>
    <w:rsid w:val="006460AC"/>
    <w:rsid w:val="00646368"/>
    <w:rsid w:val="00647DE8"/>
    <w:rsid w:val="00650788"/>
    <w:rsid w:val="0065472C"/>
    <w:rsid w:val="00654E21"/>
    <w:rsid w:val="00655EED"/>
    <w:rsid w:val="006642AA"/>
    <w:rsid w:val="006735A9"/>
    <w:rsid w:val="006747BC"/>
    <w:rsid w:val="00674CD7"/>
    <w:rsid w:val="0068214B"/>
    <w:rsid w:val="006839F7"/>
    <w:rsid w:val="00685C94"/>
    <w:rsid w:val="00694866"/>
    <w:rsid w:val="006A13EC"/>
    <w:rsid w:val="006B01BD"/>
    <w:rsid w:val="006B073B"/>
    <w:rsid w:val="006B1C9E"/>
    <w:rsid w:val="006B1D3C"/>
    <w:rsid w:val="006B35E1"/>
    <w:rsid w:val="006B684C"/>
    <w:rsid w:val="006C3DF4"/>
    <w:rsid w:val="006C6A02"/>
    <w:rsid w:val="006C7FB7"/>
    <w:rsid w:val="006D08BC"/>
    <w:rsid w:val="006D44C4"/>
    <w:rsid w:val="006D4667"/>
    <w:rsid w:val="006E1178"/>
    <w:rsid w:val="006E3A40"/>
    <w:rsid w:val="006E48B3"/>
    <w:rsid w:val="006E4CEA"/>
    <w:rsid w:val="006E5E29"/>
    <w:rsid w:val="006E7253"/>
    <w:rsid w:val="006E763E"/>
    <w:rsid w:val="006F1CC8"/>
    <w:rsid w:val="006F1D34"/>
    <w:rsid w:val="006F4DE9"/>
    <w:rsid w:val="006F5246"/>
    <w:rsid w:val="007009FF"/>
    <w:rsid w:val="00700A92"/>
    <w:rsid w:val="00701A90"/>
    <w:rsid w:val="007031B9"/>
    <w:rsid w:val="007056E5"/>
    <w:rsid w:val="00706EEB"/>
    <w:rsid w:val="007070A7"/>
    <w:rsid w:val="00707FF0"/>
    <w:rsid w:val="0071002D"/>
    <w:rsid w:val="00716B20"/>
    <w:rsid w:val="007342E9"/>
    <w:rsid w:val="00736D5B"/>
    <w:rsid w:val="0073779B"/>
    <w:rsid w:val="007402F6"/>
    <w:rsid w:val="007409E9"/>
    <w:rsid w:val="00740FD4"/>
    <w:rsid w:val="00743143"/>
    <w:rsid w:val="00744850"/>
    <w:rsid w:val="00747D57"/>
    <w:rsid w:val="007521DB"/>
    <w:rsid w:val="00754CC0"/>
    <w:rsid w:val="007620E7"/>
    <w:rsid w:val="007645C8"/>
    <w:rsid w:val="00766ADA"/>
    <w:rsid w:val="00771065"/>
    <w:rsid w:val="00772143"/>
    <w:rsid w:val="007838A1"/>
    <w:rsid w:val="007843C4"/>
    <w:rsid w:val="00784D7B"/>
    <w:rsid w:val="00796DA4"/>
    <w:rsid w:val="007A04E8"/>
    <w:rsid w:val="007A1049"/>
    <w:rsid w:val="007A1C3B"/>
    <w:rsid w:val="007A1E23"/>
    <w:rsid w:val="007A7E3C"/>
    <w:rsid w:val="007B21A5"/>
    <w:rsid w:val="007B279D"/>
    <w:rsid w:val="007B2963"/>
    <w:rsid w:val="007C33CF"/>
    <w:rsid w:val="007C7F57"/>
    <w:rsid w:val="007D3A79"/>
    <w:rsid w:val="007D3BAB"/>
    <w:rsid w:val="007D5983"/>
    <w:rsid w:val="007D5E47"/>
    <w:rsid w:val="007D6FCA"/>
    <w:rsid w:val="007D7FD9"/>
    <w:rsid w:val="007E647E"/>
    <w:rsid w:val="007E71B6"/>
    <w:rsid w:val="007F093C"/>
    <w:rsid w:val="007F70CD"/>
    <w:rsid w:val="00801CFD"/>
    <w:rsid w:val="00806836"/>
    <w:rsid w:val="008069A1"/>
    <w:rsid w:val="00816723"/>
    <w:rsid w:val="00816D03"/>
    <w:rsid w:val="00820162"/>
    <w:rsid w:val="00821E08"/>
    <w:rsid w:val="00822623"/>
    <w:rsid w:val="00823B49"/>
    <w:rsid w:val="0082688E"/>
    <w:rsid w:val="00826A62"/>
    <w:rsid w:val="00826D62"/>
    <w:rsid w:val="008271EC"/>
    <w:rsid w:val="0082759D"/>
    <w:rsid w:val="00831F60"/>
    <w:rsid w:val="00834505"/>
    <w:rsid w:val="00835DE2"/>
    <w:rsid w:val="008360C4"/>
    <w:rsid w:val="00841E51"/>
    <w:rsid w:val="00845E8F"/>
    <w:rsid w:val="0085185B"/>
    <w:rsid w:val="0085293C"/>
    <w:rsid w:val="00854668"/>
    <w:rsid w:val="00856DD2"/>
    <w:rsid w:val="00857344"/>
    <w:rsid w:val="0086154B"/>
    <w:rsid w:val="00861875"/>
    <w:rsid w:val="00862660"/>
    <w:rsid w:val="00870FA9"/>
    <w:rsid w:val="008730A2"/>
    <w:rsid w:val="00877E29"/>
    <w:rsid w:val="00881E11"/>
    <w:rsid w:val="008860AA"/>
    <w:rsid w:val="00886F1F"/>
    <w:rsid w:val="00891BD6"/>
    <w:rsid w:val="008947BF"/>
    <w:rsid w:val="00894E1D"/>
    <w:rsid w:val="008962FA"/>
    <w:rsid w:val="0089696E"/>
    <w:rsid w:val="008A2A8A"/>
    <w:rsid w:val="008B020B"/>
    <w:rsid w:val="008D04EE"/>
    <w:rsid w:val="008D158B"/>
    <w:rsid w:val="008D4184"/>
    <w:rsid w:val="008E3DB4"/>
    <w:rsid w:val="008E4ACD"/>
    <w:rsid w:val="008F49B6"/>
    <w:rsid w:val="008F661B"/>
    <w:rsid w:val="00902BD6"/>
    <w:rsid w:val="00905F71"/>
    <w:rsid w:val="0091173D"/>
    <w:rsid w:val="00914FE8"/>
    <w:rsid w:val="00923D6F"/>
    <w:rsid w:val="0092656B"/>
    <w:rsid w:val="00931FEC"/>
    <w:rsid w:val="00935FA3"/>
    <w:rsid w:val="00953A54"/>
    <w:rsid w:val="009554B0"/>
    <w:rsid w:val="00957442"/>
    <w:rsid w:val="00960928"/>
    <w:rsid w:val="00961E9C"/>
    <w:rsid w:val="009636FD"/>
    <w:rsid w:val="00964A48"/>
    <w:rsid w:val="00964F61"/>
    <w:rsid w:val="009700A4"/>
    <w:rsid w:val="00976A15"/>
    <w:rsid w:val="00986BAD"/>
    <w:rsid w:val="00990CD4"/>
    <w:rsid w:val="009A00F0"/>
    <w:rsid w:val="009A23D9"/>
    <w:rsid w:val="009A3D34"/>
    <w:rsid w:val="009A5C89"/>
    <w:rsid w:val="009B0267"/>
    <w:rsid w:val="009B0AEB"/>
    <w:rsid w:val="009B14F2"/>
    <w:rsid w:val="009B18CB"/>
    <w:rsid w:val="009B7504"/>
    <w:rsid w:val="009C2F03"/>
    <w:rsid w:val="009C63A9"/>
    <w:rsid w:val="009C63ED"/>
    <w:rsid w:val="009C6A5C"/>
    <w:rsid w:val="009D5AF3"/>
    <w:rsid w:val="009E0B44"/>
    <w:rsid w:val="009E0B4E"/>
    <w:rsid w:val="009E590E"/>
    <w:rsid w:val="009E6B8A"/>
    <w:rsid w:val="009F2011"/>
    <w:rsid w:val="009F3909"/>
    <w:rsid w:val="00A000F8"/>
    <w:rsid w:val="00A00E6B"/>
    <w:rsid w:val="00A04FE4"/>
    <w:rsid w:val="00A1046B"/>
    <w:rsid w:val="00A125CD"/>
    <w:rsid w:val="00A1374D"/>
    <w:rsid w:val="00A13CF9"/>
    <w:rsid w:val="00A200A1"/>
    <w:rsid w:val="00A2199F"/>
    <w:rsid w:val="00A21B38"/>
    <w:rsid w:val="00A23D34"/>
    <w:rsid w:val="00A25B43"/>
    <w:rsid w:val="00A266D0"/>
    <w:rsid w:val="00A27735"/>
    <w:rsid w:val="00A27D4A"/>
    <w:rsid w:val="00A3044F"/>
    <w:rsid w:val="00A30913"/>
    <w:rsid w:val="00A373B7"/>
    <w:rsid w:val="00A45483"/>
    <w:rsid w:val="00A500D3"/>
    <w:rsid w:val="00A51214"/>
    <w:rsid w:val="00A54143"/>
    <w:rsid w:val="00A5414C"/>
    <w:rsid w:val="00A56C68"/>
    <w:rsid w:val="00A62DB0"/>
    <w:rsid w:val="00A66ED3"/>
    <w:rsid w:val="00A7436C"/>
    <w:rsid w:val="00A75929"/>
    <w:rsid w:val="00A75C03"/>
    <w:rsid w:val="00A76625"/>
    <w:rsid w:val="00A80828"/>
    <w:rsid w:val="00A81391"/>
    <w:rsid w:val="00A81D5E"/>
    <w:rsid w:val="00A828B0"/>
    <w:rsid w:val="00A85161"/>
    <w:rsid w:val="00A8539F"/>
    <w:rsid w:val="00A864F4"/>
    <w:rsid w:val="00A90477"/>
    <w:rsid w:val="00A97F91"/>
    <w:rsid w:val="00AA12FC"/>
    <w:rsid w:val="00AA46F9"/>
    <w:rsid w:val="00AA629C"/>
    <w:rsid w:val="00AB2CB2"/>
    <w:rsid w:val="00AB46BE"/>
    <w:rsid w:val="00AB5E6F"/>
    <w:rsid w:val="00AC0382"/>
    <w:rsid w:val="00AC26CC"/>
    <w:rsid w:val="00AC6B4A"/>
    <w:rsid w:val="00AD4D3B"/>
    <w:rsid w:val="00AE0E9C"/>
    <w:rsid w:val="00AE1ACA"/>
    <w:rsid w:val="00AE486E"/>
    <w:rsid w:val="00AF0006"/>
    <w:rsid w:val="00AF2370"/>
    <w:rsid w:val="00AF3045"/>
    <w:rsid w:val="00AF4550"/>
    <w:rsid w:val="00AF5CAF"/>
    <w:rsid w:val="00AF6933"/>
    <w:rsid w:val="00AF6E5F"/>
    <w:rsid w:val="00B01861"/>
    <w:rsid w:val="00B04224"/>
    <w:rsid w:val="00B11482"/>
    <w:rsid w:val="00B11728"/>
    <w:rsid w:val="00B11D60"/>
    <w:rsid w:val="00B15DCC"/>
    <w:rsid w:val="00B207EA"/>
    <w:rsid w:val="00B24BE6"/>
    <w:rsid w:val="00B37190"/>
    <w:rsid w:val="00B51875"/>
    <w:rsid w:val="00B54229"/>
    <w:rsid w:val="00B5485B"/>
    <w:rsid w:val="00B568FD"/>
    <w:rsid w:val="00B60F73"/>
    <w:rsid w:val="00B635EA"/>
    <w:rsid w:val="00B72018"/>
    <w:rsid w:val="00B72DF3"/>
    <w:rsid w:val="00B73FC3"/>
    <w:rsid w:val="00B768D2"/>
    <w:rsid w:val="00B76FB9"/>
    <w:rsid w:val="00B8266E"/>
    <w:rsid w:val="00B83611"/>
    <w:rsid w:val="00B856EE"/>
    <w:rsid w:val="00B954D2"/>
    <w:rsid w:val="00B9719A"/>
    <w:rsid w:val="00BA5487"/>
    <w:rsid w:val="00BA6AEC"/>
    <w:rsid w:val="00BA7C66"/>
    <w:rsid w:val="00BB12A7"/>
    <w:rsid w:val="00BB5EE9"/>
    <w:rsid w:val="00BB7516"/>
    <w:rsid w:val="00BC1595"/>
    <w:rsid w:val="00BC5D27"/>
    <w:rsid w:val="00BC7F0D"/>
    <w:rsid w:val="00BD0883"/>
    <w:rsid w:val="00BD0C3D"/>
    <w:rsid w:val="00BD1D7A"/>
    <w:rsid w:val="00BD2717"/>
    <w:rsid w:val="00BD59A7"/>
    <w:rsid w:val="00BE037C"/>
    <w:rsid w:val="00BE099E"/>
    <w:rsid w:val="00BE1A3D"/>
    <w:rsid w:val="00BE7039"/>
    <w:rsid w:val="00BE7F48"/>
    <w:rsid w:val="00BF037E"/>
    <w:rsid w:val="00BF1506"/>
    <w:rsid w:val="00BF6614"/>
    <w:rsid w:val="00C01166"/>
    <w:rsid w:val="00C01A13"/>
    <w:rsid w:val="00C03E15"/>
    <w:rsid w:val="00C06631"/>
    <w:rsid w:val="00C07100"/>
    <w:rsid w:val="00C105A4"/>
    <w:rsid w:val="00C137FD"/>
    <w:rsid w:val="00C142D0"/>
    <w:rsid w:val="00C15268"/>
    <w:rsid w:val="00C1751E"/>
    <w:rsid w:val="00C17F54"/>
    <w:rsid w:val="00C228EE"/>
    <w:rsid w:val="00C34FE2"/>
    <w:rsid w:val="00C35F74"/>
    <w:rsid w:val="00C36EDA"/>
    <w:rsid w:val="00C37FC8"/>
    <w:rsid w:val="00C40AC6"/>
    <w:rsid w:val="00C42EC0"/>
    <w:rsid w:val="00C43773"/>
    <w:rsid w:val="00C437BB"/>
    <w:rsid w:val="00C43AA9"/>
    <w:rsid w:val="00C452FB"/>
    <w:rsid w:val="00C6064A"/>
    <w:rsid w:val="00C60675"/>
    <w:rsid w:val="00C62856"/>
    <w:rsid w:val="00C66A71"/>
    <w:rsid w:val="00C70C72"/>
    <w:rsid w:val="00C7154C"/>
    <w:rsid w:val="00C75185"/>
    <w:rsid w:val="00C751AC"/>
    <w:rsid w:val="00C902D0"/>
    <w:rsid w:val="00C90731"/>
    <w:rsid w:val="00C91B48"/>
    <w:rsid w:val="00C93FDD"/>
    <w:rsid w:val="00C94125"/>
    <w:rsid w:val="00CA2DED"/>
    <w:rsid w:val="00CA5E00"/>
    <w:rsid w:val="00CC12B0"/>
    <w:rsid w:val="00CC12FE"/>
    <w:rsid w:val="00CC3864"/>
    <w:rsid w:val="00CD0C24"/>
    <w:rsid w:val="00CD114A"/>
    <w:rsid w:val="00CD1FD5"/>
    <w:rsid w:val="00CD4621"/>
    <w:rsid w:val="00CE2DBC"/>
    <w:rsid w:val="00CE7CDA"/>
    <w:rsid w:val="00CF1449"/>
    <w:rsid w:val="00D009C5"/>
    <w:rsid w:val="00D06BB8"/>
    <w:rsid w:val="00D11310"/>
    <w:rsid w:val="00D12B62"/>
    <w:rsid w:val="00D1393D"/>
    <w:rsid w:val="00D13D30"/>
    <w:rsid w:val="00D1518E"/>
    <w:rsid w:val="00D1707C"/>
    <w:rsid w:val="00D1786E"/>
    <w:rsid w:val="00D21740"/>
    <w:rsid w:val="00D21EF4"/>
    <w:rsid w:val="00D22113"/>
    <w:rsid w:val="00D25391"/>
    <w:rsid w:val="00D27379"/>
    <w:rsid w:val="00D30463"/>
    <w:rsid w:val="00D32605"/>
    <w:rsid w:val="00D33CA3"/>
    <w:rsid w:val="00D35D47"/>
    <w:rsid w:val="00D46C64"/>
    <w:rsid w:val="00D5174C"/>
    <w:rsid w:val="00D549C2"/>
    <w:rsid w:val="00D57382"/>
    <w:rsid w:val="00D605AD"/>
    <w:rsid w:val="00D61564"/>
    <w:rsid w:val="00D6194B"/>
    <w:rsid w:val="00D648A0"/>
    <w:rsid w:val="00D7444F"/>
    <w:rsid w:val="00D75081"/>
    <w:rsid w:val="00D76AEC"/>
    <w:rsid w:val="00D8100D"/>
    <w:rsid w:val="00D85072"/>
    <w:rsid w:val="00D86F75"/>
    <w:rsid w:val="00D9246D"/>
    <w:rsid w:val="00D95460"/>
    <w:rsid w:val="00DA2456"/>
    <w:rsid w:val="00DA6D1A"/>
    <w:rsid w:val="00DB2A64"/>
    <w:rsid w:val="00DB2DEE"/>
    <w:rsid w:val="00DB2E17"/>
    <w:rsid w:val="00DB2F45"/>
    <w:rsid w:val="00DB6B08"/>
    <w:rsid w:val="00DB6D9C"/>
    <w:rsid w:val="00DC02F2"/>
    <w:rsid w:val="00DC2ACF"/>
    <w:rsid w:val="00DC3BF1"/>
    <w:rsid w:val="00DC4999"/>
    <w:rsid w:val="00DC7159"/>
    <w:rsid w:val="00DD2B36"/>
    <w:rsid w:val="00DD4B98"/>
    <w:rsid w:val="00DD7864"/>
    <w:rsid w:val="00DE0B12"/>
    <w:rsid w:val="00DF68CB"/>
    <w:rsid w:val="00DF6BE2"/>
    <w:rsid w:val="00DF750E"/>
    <w:rsid w:val="00E0041F"/>
    <w:rsid w:val="00E1022C"/>
    <w:rsid w:val="00E15EBD"/>
    <w:rsid w:val="00E24103"/>
    <w:rsid w:val="00E2532C"/>
    <w:rsid w:val="00E34F3A"/>
    <w:rsid w:val="00E36069"/>
    <w:rsid w:val="00E375F7"/>
    <w:rsid w:val="00E40C2E"/>
    <w:rsid w:val="00E41B13"/>
    <w:rsid w:val="00E43A2E"/>
    <w:rsid w:val="00E44863"/>
    <w:rsid w:val="00E45018"/>
    <w:rsid w:val="00E539A8"/>
    <w:rsid w:val="00E540D8"/>
    <w:rsid w:val="00E56F50"/>
    <w:rsid w:val="00E607BA"/>
    <w:rsid w:val="00E6343F"/>
    <w:rsid w:val="00E64B7E"/>
    <w:rsid w:val="00E66FD9"/>
    <w:rsid w:val="00E67D29"/>
    <w:rsid w:val="00E71160"/>
    <w:rsid w:val="00E75BD9"/>
    <w:rsid w:val="00E7681F"/>
    <w:rsid w:val="00E76C99"/>
    <w:rsid w:val="00E84A72"/>
    <w:rsid w:val="00E87175"/>
    <w:rsid w:val="00E96B1A"/>
    <w:rsid w:val="00EA1464"/>
    <w:rsid w:val="00EA653C"/>
    <w:rsid w:val="00EB00EF"/>
    <w:rsid w:val="00EB17B6"/>
    <w:rsid w:val="00EB17EF"/>
    <w:rsid w:val="00EC43AC"/>
    <w:rsid w:val="00EC59AE"/>
    <w:rsid w:val="00ED14FA"/>
    <w:rsid w:val="00ED651E"/>
    <w:rsid w:val="00ED6A9A"/>
    <w:rsid w:val="00ED6E53"/>
    <w:rsid w:val="00EE10F0"/>
    <w:rsid w:val="00EF5A20"/>
    <w:rsid w:val="00EF6F11"/>
    <w:rsid w:val="00EF73F3"/>
    <w:rsid w:val="00EF7EE6"/>
    <w:rsid w:val="00F0305B"/>
    <w:rsid w:val="00F04A0D"/>
    <w:rsid w:val="00F12B48"/>
    <w:rsid w:val="00F23714"/>
    <w:rsid w:val="00F263CD"/>
    <w:rsid w:val="00F27B2C"/>
    <w:rsid w:val="00F321C8"/>
    <w:rsid w:val="00F32512"/>
    <w:rsid w:val="00F36091"/>
    <w:rsid w:val="00F3611A"/>
    <w:rsid w:val="00F36E46"/>
    <w:rsid w:val="00F41575"/>
    <w:rsid w:val="00F42817"/>
    <w:rsid w:val="00F42D9F"/>
    <w:rsid w:val="00F46C9F"/>
    <w:rsid w:val="00F472CE"/>
    <w:rsid w:val="00F50A5C"/>
    <w:rsid w:val="00F50AE5"/>
    <w:rsid w:val="00F50E2F"/>
    <w:rsid w:val="00F5284D"/>
    <w:rsid w:val="00F56D65"/>
    <w:rsid w:val="00F6070C"/>
    <w:rsid w:val="00F60B44"/>
    <w:rsid w:val="00F6232A"/>
    <w:rsid w:val="00F6239A"/>
    <w:rsid w:val="00F6697F"/>
    <w:rsid w:val="00F66D0A"/>
    <w:rsid w:val="00F70D56"/>
    <w:rsid w:val="00F752E2"/>
    <w:rsid w:val="00F773C8"/>
    <w:rsid w:val="00F77C06"/>
    <w:rsid w:val="00F8734D"/>
    <w:rsid w:val="00FA142E"/>
    <w:rsid w:val="00FA1A02"/>
    <w:rsid w:val="00FA5813"/>
    <w:rsid w:val="00FB36E2"/>
    <w:rsid w:val="00FB6BC7"/>
    <w:rsid w:val="00FB6D1D"/>
    <w:rsid w:val="00FB7CF9"/>
    <w:rsid w:val="00FC3EAC"/>
    <w:rsid w:val="00FD00A9"/>
    <w:rsid w:val="00FD0245"/>
    <w:rsid w:val="00FD1C3D"/>
    <w:rsid w:val="00FD1E97"/>
    <w:rsid w:val="00FD46E8"/>
    <w:rsid w:val="00FD73BF"/>
    <w:rsid w:val="00FE10FA"/>
    <w:rsid w:val="00FE335E"/>
    <w:rsid w:val="00FE3794"/>
    <w:rsid w:val="00FE59E3"/>
    <w:rsid w:val="00FE59E7"/>
    <w:rsid w:val="00FF0E03"/>
    <w:rsid w:val="00FF192C"/>
    <w:rsid w:val="00FF2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2EA4D6D3"/>
  <w15:docId w15:val="{E9BD0392-1CD1-42CC-AD91-AD4F9FA3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6FA"/>
    <w:pPr>
      <w:spacing w:after="0" w:line="240" w:lineRule="auto"/>
      <w:jc w:val="both"/>
    </w:pPr>
    <w:rPr>
      <w:rFonts w:ascii="Arial" w:hAnsi="Arial" w:cs="Times New Roman"/>
      <w:sz w:val="24"/>
      <w:szCs w:val="20"/>
    </w:rPr>
  </w:style>
  <w:style w:type="paragraph" w:styleId="Heading1">
    <w:name w:val="heading 1"/>
    <w:basedOn w:val="Normal"/>
    <w:next w:val="Normal"/>
    <w:link w:val="Heading1Char"/>
    <w:uiPriority w:val="9"/>
    <w:qFormat/>
    <w:rsid w:val="00ED6E53"/>
    <w:pPr>
      <w:numPr>
        <w:numId w:val="44"/>
      </w:numPr>
      <w:ind w:left="567" w:hanging="567"/>
      <w:outlineLvl w:val="0"/>
    </w:pPr>
    <w:rPr>
      <w:rFonts w:eastAsiaTheme="majorEastAsia" w:cstheme="majorBidi"/>
      <w:b/>
      <w:bCs/>
      <w:szCs w:val="28"/>
      <w:lang w:bidi="en-US"/>
    </w:rPr>
  </w:style>
  <w:style w:type="paragraph" w:styleId="Heading2">
    <w:name w:val="heading 2"/>
    <w:basedOn w:val="Normal"/>
    <w:next w:val="Normal"/>
    <w:link w:val="Heading2Char"/>
    <w:uiPriority w:val="9"/>
    <w:unhideWhenUsed/>
    <w:qFormat/>
    <w:rsid w:val="00112AE1"/>
    <w:pPr>
      <w:numPr>
        <w:ilvl w:val="1"/>
        <w:numId w:val="44"/>
      </w:numPr>
      <w:ind w:left="567" w:hanging="567"/>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ED6E53"/>
    <w:pPr>
      <w:numPr>
        <w:ilvl w:val="2"/>
        <w:numId w:val="44"/>
      </w:numPr>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numPr>
        <w:ilvl w:val="3"/>
        <w:numId w:val="44"/>
      </w:num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numPr>
        <w:ilvl w:val="4"/>
        <w:numId w:val="44"/>
      </w:num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numPr>
        <w:ilvl w:val="5"/>
        <w:numId w:val="44"/>
      </w:num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numPr>
        <w:ilvl w:val="6"/>
        <w:numId w:val="44"/>
      </w:num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numPr>
        <w:ilvl w:val="7"/>
        <w:numId w:val="44"/>
      </w:num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numPr>
        <w:ilvl w:val="8"/>
        <w:numId w:val="44"/>
      </w:num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53"/>
    <w:rPr>
      <w:rFonts w:ascii="Arial" w:eastAsiaTheme="majorEastAsia" w:hAnsi="Arial" w:cstheme="majorBidi"/>
      <w:b/>
      <w:bCs/>
      <w:sz w:val="24"/>
      <w:szCs w:val="28"/>
      <w:lang w:bidi="en-US"/>
    </w:rPr>
  </w:style>
  <w:style w:type="character" w:customStyle="1" w:styleId="Heading2Char">
    <w:name w:val="Heading 2 Char"/>
    <w:basedOn w:val="DefaultParagraphFont"/>
    <w:link w:val="Heading2"/>
    <w:uiPriority w:val="9"/>
    <w:rsid w:val="00112AE1"/>
    <w:rPr>
      <w:rFonts w:ascii="Arial" w:eastAsiaTheme="majorEastAsia" w:hAnsi="Arial" w:cstheme="majorBidi"/>
      <w:b/>
      <w:bCs/>
      <w:sz w:val="24"/>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link w:val="ListParagraphChar"/>
    <w:uiPriority w:val="34"/>
    <w:qFormat/>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Footnote Reference (Alt+R),4_G,Footnote Refernece,callout,Footnotes refss,Appel note de bas de p.,Footnote Reference Superscript,BVI fnr,Footnote Reference Number,Footnote Refernece + (Latein) Arial,10 pt,Blau,Ref"/>
    <w:basedOn w:val="DefaultParagraphFont"/>
    <w:uiPriority w:val="99"/>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Texto,Char,o"/>
    <w:basedOn w:val="Normal"/>
    <w:link w:val="FootnoteTextChar"/>
    <w:uiPriority w:val="99"/>
    <w:unhideWhenUsed/>
    <w:qFormat/>
    <w:rsid w:val="00EF73F3"/>
    <w:rPr>
      <w:sz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ED6E53"/>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75929"/>
    <w:pPr>
      <w:tabs>
        <w:tab w:val="right" w:leader="dot" w:pos="9072"/>
      </w:tabs>
      <w:ind w:left="567" w:hanging="567"/>
    </w:pPr>
    <w:rPr>
      <w:rFonts w:cstheme="minorBidi"/>
    </w:rPr>
  </w:style>
  <w:style w:type="paragraph" w:styleId="TOC2">
    <w:name w:val="toc 2"/>
    <w:basedOn w:val="Normal"/>
    <w:next w:val="Normal"/>
    <w:uiPriority w:val="39"/>
    <w:unhideWhenUsed/>
    <w:rsid w:val="00A75929"/>
    <w:pPr>
      <w:tabs>
        <w:tab w:val="right" w:leader="dot" w:pos="9072"/>
      </w:tabs>
      <w:ind w:left="1134" w:hanging="567"/>
    </w:pPr>
    <w:rPr>
      <w:rFonts w:cstheme="minorBidi"/>
    </w:rPr>
  </w:style>
  <w:style w:type="paragraph" w:styleId="TOC3">
    <w:name w:val="toc 3"/>
    <w:basedOn w:val="Normal"/>
    <w:next w:val="Normal"/>
    <w:uiPriority w:val="39"/>
    <w:unhideWhenUsed/>
    <w:rsid w:val="006747BC"/>
    <w:pPr>
      <w:tabs>
        <w:tab w:val="right" w:leader="dot" w:pos="9072"/>
      </w:tabs>
      <w:ind w:left="1985" w:hanging="851"/>
    </w:pPr>
    <w:rPr>
      <w:rFonts w:cstheme="minorBidi"/>
    </w:rPr>
  </w:style>
  <w:style w:type="character" w:styleId="Hyperlink">
    <w:name w:val="Hyperlink"/>
    <w:basedOn w:val="DefaultParagraphFont"/>
    <w:uiPriority w:val="99"/>
    <w:unhideWhenUsed/>
    <w:rsid w:val="00C105A4"/>
    <w:rPr>
      <w:rFonts w:ascii="Arial" w:hAnsi="Arial" w:cs="Times New Roman" w:hint="default"/>
      <w:color w:val="0000FF"/>
      <w:sz w:val="20"/>
      <w:u w:val="single"/>
    </w:rPr>
  </w:style>
  <w:style w:type="paragraph" w:styleId="PlainText">
    <w:name w:val="Plain Text"/>
    <w:basedOn w:val="Normal"/>
    <w:link w:val="PlainTextChar"/>
    <w:uiPriority w:val="99"/>
    <w:unhideWhenUsed/>
    <w:rsid w:val="00D46CBD"/>
    <w:rPr>
      <w:rFonts w:ascii="Consolas" w:hAnsi="Consolas" w:cs="Consolas"/>
      <w:sz w:val="21"/>
      <w:szCs w:val="21"/>
    </w:rPr>
  </w:style>
  <w:style w:type="character" w:customStyle="1" w:styleId="PlainTextChar">
    <w:name w:val="Plain Text Char"/>
    <w:basedOn w:val="DefaultParagraphFont"/>
    <w:link w:val="PlainText"/>
    <w:uiPriority w:val="99"/>
    <w:rsid w:val="00D46CBD"/>
    <w:rPr>
      <w:rFonts w:ascii="Consolas" w:hAnsi="Consolas" w:cs="Consolas"/>
      <w:sz w:val="21"/>
      <w:szCs w:val="21"/>
    </w:rPr>
  </w:style>
  <w:style w:type="paragraph" w:styleId="Header">
    <w:name w:val="header"/>
    <w:basedOn w:val="Normal"/>
    <w:link w:val="HeaderChar"/>
    <w:uiPriority w:val="99"/>
    <w:unhideWhenUsed/>
    <w:rsid w:val="00D9246D"/>
    <w:pPr>
      <w:tabs>
        <w:tab w:val="center" w:pos="4536"/>
        <w:tab w:val="right" w:pos="9072"/>
      </w:tabs>
    </w:pPr>
  </w:style>
  <w:style w:type="character" w:customStyle="1" w:styleId="HeaderChar">
    <w:name w:val="Header Char"/>
    <w:basedOn w:val="DefaultParagraphFont"/>
    <w:link w:val="Header"/>
    <w:uiPriority w:val="99"/>
    <w:rsid w:val="00D9246D"/>
    <w:rPr>
      <w:rFonts w:ascii="Arial" w:hAnsi="Arial" w:cs="Times New Roman"/>
      <w:sz w:val="24"/>
      <w:szCs w:val="20"/>
    </w:rPr>
  </w:style>
  <w:style w:type="paragraph" w:styleId="Footer">
    <w:name w:val="footer"/>
    <w:basedOn w:val="Normal"/>
    <w:link w:val="FooterChar"/>
    <w:uiPriority w:val="99"/>
    <w:unhideWhenUsed/>
    <w:rsid w:val="00D9246D"/>
    <w:pPr>
      <w:tabs>
        <w:tab w:val="center" w:pos="4536"/>
        <w:tab w:val="right" w:pos="9072"/>
      </w:tabs>
    </w:pPr>
  </w:style>
  <w:style w:type="character" w:customStyle="1" w:styleId="FooterChar">
    <w:name w:val="Footer Char"/>
    <w:basedOn w:val="DefaultParagraphFont"/>
    <w:link w:val="Footer"/>
    <w:uiPriority w:val="99"/>
    <w:rsid w:val="00D9246D"/>
    <w:rPr>
      <w:rFonts w:ascii="Arial" w:hAnsi="Arial" w:cs="Times New Roman"/>
      <w:sz w:val="24"/>
      <w:szCs w:val="20"/>
    </w:rPr>
  </w:style>
  <w:style w:type="table" w:styleId="TableGrid">
    <w:name w:val="Table Grid"/>
    <w:basedOn w:val="TableNormal"/>
    <w:uiPriority w:val="39"/>
    <w:rsid w:val="00D9246D"/>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246D"/>
    <w:pPr>
      <w:spacing w:after="120"/>
    </w:pPr>
    <w:rPr>
      <w:rFonts w:eastAsiaTheme="minorHAnsi" w:cs="Arial"/>
      <w:szCs w:val="24"/>
    </w:rPr>
  </w:style>
  <w:style w:type="character" w:customStyle="1" w:styleId="BodyTextChar">
    <w:name w:val="Body Text Char"/>
    <w:basedOn w:val="DefaultParagraphFont"/>
    <w:link w:val="BodyText"/>
    <w:uiPriority w:val="99"/>
    <w:rsid w:val="00D9246D"/>
    <w:rPr>
      <w:rFonts w:ascii="Arial" w:eastAsiaTheme="minorHAnsi" w:hAnsi="Arial" w:cs="Arial"/>
      <w:sz w:val="24"/>
      <w:szCs w:val="24"/>
    </w:rPr>
  </w:style>
  <w:style w:type="character" w:styleId="CommentReference">
    <w:name w:val="annotation reference"/>
    <w:basedOn w:val="DefaultParagraphFont"/>
    <w:uiPriority w:val="99"/>
    <w:semiHidden/>
    <w:unhideWhenUsed/>
    <w:rsid w:val="006747BC"/>
    <w:rPr>
      <w:sz w:val="16"/>
      <w:szCs w:val="16"/>
    </w:rPr>
  </w:style>
  <w:style w:type="paragraph" w:styleId="CommentText">
    <w:name w:val="annotation text"/>
    <w:basedOn w:val="Normal"/>
    <w:link w:val="CommentTextChar"/>
    <w:uiPriority w:val="99"/>
    <w:unhideWhenUsed/>
    <w:rsid w:val="006747BC"/>
    <w:rPr>
      <w:sz w:val="20"/>
    </w:rPr>
  </w:style>
  <w:style w:type="character" w:customStyle="1" w:styleId="CommentTextChar">
    <w:name w:val="Comment Text Char"/>
    <w:basedOn w:val="DefaultParagraphFont"/>
    <w:link w:val="CommentText"/>
    <w:uiPriority w:val="99"/>
    <w:rsid w:val="006747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7BC"/>
    <w:rPr>
      <w:b/>
      <w:bCs/>
    </w:rPr>
  </w:style>
  <w:style w:type="character" w:customStyle="1" w:styleId="CommentSubjectChar">
    <w:name w:val="Comment Subject Char"/>
    <w:basedOn w:val="CommentTextChar"/>
    <w:link w:val="CommentSubject"/>
    <w:uiPriority w:val="99"/>
    <w:semiHidden/>
    <w:rsid w:val="006747BC"/>
    <w:rPr>
      <w:rFonts w:ascii="Arial" w:hAnsi="Arial" w:cs="Times New Roman"/>
      <w:b/>
      <w:bCs/>
      <w:sz w:val="20"/>
      <w:szCs w:val="20"/>
    </w:rPr>
  </w:style>
  <w:style w:type="paragraph" w:styleId="BalloonText">
    <w:name w:val="Balloon Text"/>
    <w:basedOn w:val="Normal"/>
    <w:link w:val="BalloonTextChar"/>
    <w:uiPriority w:val="99"/>
    <w:semiHidden/>
    <w:unhideWhenUsed/>
    <w:rsid w:val="0067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BC"/>
    <w:rPr>
      <w:rFonts w:ascii="Segoe UI" w:hAnsi="Segoe UI" w:cs="Segoe UI"/>
      <w:sz w:val="18"/>
      <w:szCs w:val="18"/>
    </w:rPr>
  </w:style>
  <w:style w:type="paragraph" w:customStyle="1" w:styleId="ListDash">
    <w:name w:val="List Dash"/>
    <w:basedOn w:val="Normal"/>
    <w:rsid w:val="0071002D"/>
    <w:pPr>
      <w:numPr>
        <w:numId w:val="6"/>
      </w:numPr>
      <w:spacing w:before="120" w:after="120"/>
    </w:pPr>
    <w:rPr>
      <w:rFonts w:ascii="Times New Roman" w:hAnsi="Times New Roman"/>
      <w:szCs w:val="24"/>
      <w:lang w:eastAsia="de-DE"/>
    </w:rPr>
  </w:style>
  <w:style w:type="character" w:styleId="FollowedHyperlink">
    <w:name w:val="FollowedHyperlink"/>
    <w:basedOn w:val="DefaultParagraphFont"/>
    <w:uiPriority w:val="99"/>
    <w:semiHidden/>
    <w:unhideWhenUsed/>
    <w:rsid w:val="008E4ACD"/>
    <w:rPr>
      <w:color w:val="800080" w:themeColor="followedHyperlink"/>
      <w:u w:val="single"/>
    </w:rPr>
  </w:style>
  <w:style w:type="paragraph" w:customStyle="1" w:styleId="Un-numberedsubheading">
    <w:name w:val="Un-numbered subheading"/>
    <w:basedOn w:val="BodyText"/>
    <w:link w:val="Un-numberedsubheadingChar"/>
    <w:qFormat/>
    <w:rsid w:val="009C63A9"/>
    <w:rPr>
      <w:b/>
    </w:rPr>
  </w:style>
  <w:style w:type="character" w:customStyle="1" w:styleId="Un-numberedsubheadingChar">
    <w:name w:val="Un-numbered subheading Char"/>
    <w:basedOn w:val="BodyTextChar"/>
    <w:link w:val="Un-numberedsubheading"/>
    <w:rsid w:val="009C63A9"/>
    <w:rPr>
      <w:rFonts w:ascii="Arial" w:eastAsiaTheme="minorHAnsi" w:hAnsi="Arial" w:cs="Arial"/>
      <w:b/>
      <w:sz w:val="24"/>
      <w:szCs w:val="24"/>
    </w:rPr>
  </w:style>
  <w:style w:type="character" w:styleId="EndnoteReference">
    <w:name w:val="endnote reference"/>
    <w:basedOn w:val="DefaultParagraphFont"/>
    <w:uiPriority w:val="99"/>
    <w:semiHidden/>
    <w:unhideWhenUsed/>
    <w:rsid w:val="00D86F75"/>
    <w:rPr>
      <w:vertAlign w:val="superscript"/>
    </w:rPr>
  </w:style>
  <w:style w:type="table" w:customStyle="1" w:styleId="PlainTable11">
    <w:name w:val="Plain Table 11"/>
    <w:basedOn w:val="TableNormal"/>
    <w:uiPriority w:val="99"/>
    <w:rsid w:val="007E64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ED14FA"/>
    <w:pPr>
      <w:spacing w:after="0" w:line="240" w:lineRule="auto"/>
    </w:pPr>
    <w:rPr>
      <w:rFonts w:ascii="Arial" w:eastAsiaTheme="minorHAnsi" w:hAnsi="Arial" w:cs="Arial"/>
      <w:sz w:val="24"/>
      <w:szCs w:val="24"/>
    </w:rPr>
  </w:style>
  <w:style w:type="character" w:styleId="UnresolvedMention">
    <w:name w:val="Unresolved Mention"/>
    <w:basedOn w:val="DefaultParagraphFont"/>
    <w:uiPriority w:val="99"/>
    <w:semiHidden/>
    <w:unhideWhenUsed/>
    <w:rsid w:val="000844FE"/>
    <w:rPr>
      <w:color w:val="605E5C"/>
      <w:shd w:val="clear" w:color="auto" w:fill="E1DFDD"/>
    </w:rPr>
  </w:style>
  <w:style w:type="paragraph" w:customStyle="1" w:styleId="opsomming">
    <w:name w:val="opsomming"/>
    <w:basedOn w:val="ListParagraph"/>
    <w:link w:val="opsommingChar"/>
    <w:qFormat/>
    <w:rsid w:val="00112AE1"/>
    <w:pPr>
      <w:numPr>
        <w:numId w:val="24"/>
      </w:numPr>
      <w:ind w:left="567" w:hanging="567"/>
    </w:pPr>
    <w:rPr>
      <w:rFonts w:cs="Arial"/>
      <w:szCs w:val="24"/>
    </w:rPr>
  </w:style>
  <w:style w:type="character" w:customStyle="1" w:styleId="ListParagraphChar">
    <w:name w:val="List Paragraph Char"/>
    <w:basedOn w:val="DefaultParagraphFont"/>
    <w:link w:val="ListParagraph"/>
    <w:uiPriority w:val="34"/>
    <w:rsid w:val="00112AE1"/>
    <w:rPr>
      <w:rFonts w:ascii="Arial" w:hAnsi="Arial" w:cs="Times New Roman"/>
      <w:sz w:val="24"/>
      <w:szCs w:val="20"/>
      <w:lang w:eastAsia="en-GB"/>
    </w:rPr>
  </w:style>
  <w:style w:type="character" w:customStyle="1" w:styleId="opsommingChar">
    <w:name w:val="opsomming Char"/>
    <w:basedOn w:val="ListParagraphChar"/>
    <w:link w:val="opsomming"/>
    <w:rsid w:val="00112AE1"/>
    <w:rPr>
      <w:rFonts w:ascii="Arial" w:hAnsi="Arial" w:cs="Arial"/>
      <w:sz w:val="24"/>
      <w:szCs w:val="24"/>
      <w:lang w:eastAsia="en-GB"/>
    </w:rPr>
  </w:style>
  <w:style w:type="paragraph" w:styleId="Revision">
    <w:name w:val="Revision"/>
    <w:hidden/>
    <w:uiPriority w:val="99"/>
    <w:semiHidden/>
    <w:rsid w:val="00F50E2F"/>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761">
      <w:bodyDiv w:val="1"/>
      <w:marLeft w:val="0"/>
      <w:marRight w:val="0"/>
      <w:marTop w:val="0"/>
      <w:marBottom w:val="0"/>
      <w:divBdr>
        <w:top w:val="none" w:sz="0" w:space="0" w:color="auto"/>
        <w:left w:val="none" w:sz="0" w:space="0" w:color="auto"/>
        <w:bottom w:val="none" w:sz="0" w:space="0" w:color="auto"/>
        <w:right w:val="none" w:sz="0" w:space="0" w:color="auto"/>
      </w:divBdr>
    </w:div>
    <w:div w:id="1219590236">
      <w:bodyDiv w:val="1"/>
      <w:marLeft w:val="0"/>
      <w:marRight w:val="0"/>
      <w:marTop w:val="0"/>
      <w:marBottom w:val="0"/>
      <w:divBdr>
        <w:top w:val="none" w:sz="0" w:space="0" w:color="auto"/>
        <w:left w:val="none" w:sz="0" w:space="0" w:color="auto"/>
        <w:bottom w:val="none" w:sz="0" w:space="0" w:color="auto"/>
        <w:right w:val="none" w:sz="0" w:space="0" w:color="auto"/>
      </w:divBdr>
    </w:div>
    <w:div w:id="1568150887">
      <w:bodyDiv w:val="1"/>
      <w:marLeft w:val="0"/>
      <w:marRight w:val="0"/>
      <w:marTop w:val="0"/>
      <w:marBottom w:val="0"/>
      <w:divBdr>
        <w:top w:val="none" w:sz="0" w:space="0" w:color="auto"/>
        <w:left w:val="none" w:sz="0" w:space="0" w:color="auto"/>
        <w:bottom w:val="none" w:sz="0" w:space="0" w:color="auto"/>
        <w:right w:val="none" w:sz="0" w:space="0" w:color="auto"/>
      </w:divBdr>
      <w:divsChild>
        <w:div w:id="1749573978">
          <w:marLeft w:val="0"/>
          <w:marRight w:val="0"/>
          <w:marTop w:val="0"/>
          <w:marBottom w:val="0"/>
          <w:divBdr>
            <w:top w:val="none" w:sz="0" w:space="0" w:color="auto"/>
            <w:left w:val="none" w:sz="0" w:space="0" w:color="auto"/>
            <w:bottom w:val="none" w:sz="0" w:space="0" w:color="auto"/>
            <w:right w:val="none" w:sz="0" w:space="0" w:color="auto"/>
          </w:divBdr>
        </w:div>
        <w:div w:id="162210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forosimv.gr/docs/2014_12_15_ypakp_diavouleysi.pdf" TargetMode="External"/><Relationship Id="rId13" Type="http://schemas.openxmlformats.org/officeDocument/2006/relationships/hyperlink" Target="http://www.esfhellas.gr/elibrary/1h_Ekthesi_Proodou_ESPA_2014-2020_July2018.pdf" TargetMode="External"/><Relationship Id="rId18" Type="http://schemas.openxmlformats.org/officeDocument/2006/relationships/hyperlink" Target="https://www.esamea.gr/legal-framework/ministerial-decisions/3698-23-01-2017-kya-gia-apoidrymatopoiisi-amea-se-dytiki-ellada-kai-attiki" TargetMode="External"/><Relationship Id="rId26" Type="http://schemas.openxmlformats.org/officeDocument/2006/relationships/hyperlink" Target="http://www.esfhellas.gr/elibrary/N4314_2014_FEKA265.pdf" TargetMode="External"/><Relationship Id="rId39" Type="http://schemas.openxmlformats.org/officeDocument/2006/relationships/hyperlink" Target="http://www.synigoros.gr/resources/parallel-report-un--3.pdf" TargetMode="External"/><Relationship Id="rId3" Type="http://schemas.openxmlformats.org/officeDocument/2006/relationships/hyperlink" Target="http://www.esfhellas.gr/el/Pages/eLibraryFS.aspx?item=2087" TargetMode="External"/><Relationship Id="rId21" Type="http://schemas.openxmlformats.org/officeDocument/2006/relationships/hyperlink" Target="http://www.esfhellas.gr/el/Pages/ProclamationsFS.aspx?item=4467" TargetMode="External"/><Relationship Id="rId34" Type="http://schemas.openxmlformats.org/officeDocument/2006/relationships/hyperlink" Target="https://tbinternet.ohchr.org/_layouts/treatybodyexternal/Download.aspx?symbolno=CCPR%2fC%2fGRC%2fCO%2f2&amp;Lang=en" TargetMode="External"/><Relationship Id="rId42" Type="http://schemas.openxmlformats.org/officeDocument/2006/relationships/hyperlink" Target="https://www.wearelumos.org/where-we-work/greece/" TargetMode="External"/><Relationship Id="rId7" Type="http://schemas.openxmlformats.org/officeDocument/2006/relationships/hyperlink" Target="http://www.statistics.gr/el/statistics/-/publication/SHE35/-" TargetMode="External"/><Relationship Id="rId12" Type="http://schemas.openxmlformats.org/officeDocument/2006/relationships/hyperlink" Target="https://ec.europa.eu/info/sites/info/files/partnership-agreement-greece-may2014_el.pdf" TargetMode="External"/><Relationship Id="rId17" Type="http://schemas.openxmlformats.org/officeDocument/2006/relationships/hyperlink" Target="https://communitylivingforeurope.org/country-specifics/" TargetMode="External"/><Relationship Id="rId25" Type="http://schemas.openxmlformats.org/officeDocument/2006/relationships/hyperlink" Target="http://www.esfhellas.gr/el/Pages/EYSEKT.aspx" TargetMode="External"/><Relationship Id="rId33" Type="http://schemas.openxmlformats.org/officeDocument/2006/relationships/hyperlink" Target="https://tbinternet.ohchr.org/_layouts/treatybodyexternal/TBSearch.aspx?Lang=en&amp;TreatyID=4&amp;DocTypeID=5" TargetMode="External"/><Relationship Id="rId38" Type="http://schemas.openxmlformats.org/officeDocument/2006/relationships/hyperlink" Target="https://www.synigoros.gr/resources/docs/kepeplechaina2011.pdf" TargetMode="External"/><Relationship Id="rId2" Type="http://schemas.openxmlformats.org/officeDocument/2006/relationships/hyperlink" Target="http://www.synigoros.gr/resources/docs/575568.pdf" TargetMode="External"/><Relationship Id="rId16" Type="http://schemas.openxmlformats.org/officeDocument/2006/relationships/hyperlink" Target="http://www.pepattikis.gr/ftwxeia/" TargetMode="External"/><Relationship Id="rId20" Type="http://schemas.openxmlformats.org/officeDocument/2006/relationships/hyperlink" Target="http://www.esfhellas.gr/el/Pages/ProclamationsFS.aspx?item=4487" TargetMode="External"/><Relationship Id="rId29" Type="http://schemas.openxmlformats.org/officeDocument/2006/relationships/hyperlink" Target="http://www.esfhellas.gr/el/Pages/eLibraryFS.aspx?item=2087" TargetMode="External"/><Relationship Id="rId41" Type="http://schemas.openxmlformats.org/officeDocument/2006/relationships/hyperlink" Target="https://m.youtube.com/watch?v=sJJ__PhQMU0" TargetMode="External"/><Relationship Id="rId1" Type="http://schemas.openxmlformats.org/officeDocument/2006/relationships/hyperlink" Target="http://www.statistics.gr/el/statistics/-/publication/SHE27/2017" TargetMode="External"/><Relationship Id="rId6" Type="http://schemas.openxmlformats.org/officeDocument/2006/relationships/hyperlink" Target="http://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308726&amp;_documents_WAR_publicationsportlet_INSTANCE_qDQ8fBKKo4lN_locale=el" TargetMode="External"/><Relationship Id="rId11" Type="http://schemas.openxmlformats.org/officeDocument/2006/relationships/hyperlink" Target="https://communitylivingforeurope.org/country-specifics/" TargetMode="External"/><Relationship Id="rId24" Type="http://schemas.openxmlformats.org/officeDocument/2006/relationships/hyperlink" Target="http://www.esfhellas.gr/elibrary/1h_Ekthesi_Proodou_ESPA_2014-2020_July2018.pdf" TargetMode="External"/><Relationship Id="rId32" Type="http://schemas.openxmlformats.org/officeDocument/2006/relationships/hyperlink" Target="https://tbinternet.ohchr.org/_layouts/treatybodyexternal/Download.aspx?symbolno=CRPD%2fC%2fGRC%2f1&amp;Lang=en" TargetMode="External"/><Relationship Id="rId37" Type="http://schemas.openxmlformats.org/officeDocument/2006/relationships/hyperlink" Target="http://www.synigoros.gr/resources/docs/575568.pdf" TargetMode="External"/><Relationship Id="rId40" Type="http://schemas.openxmlformats.org/officeDocument/2006/relationships/hyperlink" Target="https://www.facebook.com/mideniki.anoxi/" TargetMode="External"/><Relationship Id="rId5" Type="http://schemas.openxmlformats.org/officeDocument/2006/relationships/hyperlink" Target="http://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308726&amp;_documents_WAR_publicationsportlet_INSTANCE_qDQ8fBKKo4lN_locale=el" TargetMode="External"/><Relationship Id="rId15" Type="http://schemas.openxmlformats.org/officeDocument/2006/relationships/hyperlink" Target="https://eustructuralfundswatchdotcom.files.wordpress.com/2017/11/cle-sfw_opening-up-communities-november-2017_final.pdf" TargetMode="External"/><Relationship Id="rId23" Type="http://schemas.openxmlformats.org/officeDocument/2006/relationships/hyperlink" Target="https://www.disability-europe.net/dotcom" TargetMode="External"/><Relationship Id="rId28" Type="http://schemas.openxmlformats.org/officeDocument/2006/relationships/hyperlink" Target="http://www.esfhellas.gr/Lists/Proclamations/Attachments/4487/PR_145.9iii_1-0.pdf" TargetMode="External"/><Relationship Id="rId36" Type="http://schemas.openxmlformats.org/officeDocument/2006/relationships/hyperlink" Target="https://rm.coe.int/CoERMPublicCommonSearchServices/DisplayDCTMContent?documentId=09000016809024f7" TargetMode="External"/><Relationship Id="rId10" Type="http://schemas.openxmlformats.org/officeDocument/2006/relationships/hyperlink" Target="https://www.espa.gr/elibrary/Anthr._Dynamiko_Ekpaideusi_2014GR05M9OP001_1_4_el.pdf" TargetMode="External"/><Relationship Id="rId19" Type="http://schemas.openxmlformats.org/officeDocument/2006/relationships/hyperlink" Target="http://www.esamea.gr/pressoffice/press-releases/1180-oi-protaseis-toy-anapirikoy-kinimatos-sta-perifereiaka-epixeirisiaka-programmata-attiki-d-ellada-an-makedonia-thraki" TargetMode="External"/><Relationship Id="rId31" Type="http://schemas.openxmlformats.org/officeDocument/2006/relationships/hyperlink" Target="http://www.esfhellas.gr/el/Pages/ProclamationsFS.aspx?item=4056" TargetMode="External"/><Relationship Id="rId44" Type="http://schemas.openxmlformats.org/officeDocument/2006/relationships/hyperlink" Target="http://enil.eu/wp-content/uploads/2014/07/Toolkit-07-01-2014-WEB.pdf" TargetMode="External"/><Relationship Id="rId4" Type="http://schemas.openxmlformats.org/officeDocument/2006/relationships/hyperlink" Target="https://www.oecd.org/els/health-systems/AccountingMappingofLTC.pdf" TargetMode="External"/><Relationship Id="rId9" Type="http://schemas.openxmlformats.org/officeDocument/2006/relationships/hyperlink" Target="https://ec.europa.eu/info/sites/info/files/partnership-agreement-greece-may2014_el.pdf" TargetMode="External"/><Relationship Id="rId14" Type="http://schemas.openxmlformats.org/officeDocument/2006/relationships/hyperlink" Target="http://www.pepattikis.gr/ftwxeia/" TargetMode="External"/><Relationship Id="rId22" Type="http://schemas.openxmlformats.org/officeDocument/2006/relationships/hyperlink" Target="https://www.espa.gr/el/Pages/ProgramsList.aspx" TargetMode="External"/><Relationship Id="rId27" Type="http://schemas.openxmlformats.org/officeDocument/2006/relationships/hyperlink" Target="http://www.esfhellas.gr/elibrary/Eniaio_Systima_Parakolouthisis_Deiktwn_2014-2020_July2017.pdf" TargetMode="External"/><Relationship Id="rId30" Type="http://schemas.openxmlformats.org/officeDocument/2006/relationships/hyperlink" Target="http://www.parliament.gr/Nomothetiko-Ergo/Anazitisi-Nomothetikou-Ergou?law_id=b8e96a13-bde1-47bc-a835-a7de0147c297" TargetMode="External"/><Relationship Id="rId35" Type="http://schemas.openxmlformats.org/officeDocument/2006/relationships/hyperlink" Target="https://www.coe.int/en/web/commissioner/-/greece-urged-to-protect-the-human-rights-of-persons-with-intellectual-and-psychosocial-disabilities-and-de-institutionalise-them" TargetMode="External"/><Relationship Id="rId43" Type="http://schemas.openxmlformats.org/officeDocument/2006/relationships/hyperlink" Target="http://www.sasca.eu/archives/projec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2A32-C613-4B12-99C5-60E85D3C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7891</Words>
  <Characters>43405</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Rebecca van Midden</cp:lastModifiedBy>
  <cp:revision>3</cp:revision>
  <cp:lastPrinted>2018-12-07T07:47:00Z</cp:lastPrinted>
  <dcterms:created xsi:type="dcterms:W3CDTF">2019-05-01T11:04:00Z</dcterms:created>
  <dcterms:modified xsi:type="dcterms:W3CDTF">2019-05-01T11:12:00Z</dcterms:modified>
</cp:coreProperties>
</file>